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2A" w:rsidRPr="00F2236F" w:rsidRDefault="00233792" w:rsidP="00974317">
      <w:pPr>
        <w:spacing w:before="100" w:after="200" w:line="276" w:lineRule="auto"/>
        <w:ind w:left="720" w:right="590"/>
        <w:rPr>
          <w:rFonts w:ascii="Sylfaen" w:eastAsia="Times New Roman" w:hAnsi="Sylfaen" w:cs="Times New Roman"/>
          <w:b/>
          <w:lang w:val="ka-GE"/>
        </w:rPr>
      </w:pPr>
      <w:r w:rsidRPr="00F2236F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67945</wp:posOffset>
            </wp:positionV>
            <wp:extent cx="1143000" cy="1000125"/>
            <wp:effectExtent l="0" t="0" r="0" b="0"/>
            <wp:wrapSquare wrapText="bothSides"/>
            <wp:docPr id="2" name="Picture 2" descr="http://imereti.gov.ge/them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ereti.gov.ge/themes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222" w:rsidRPr="00F2236F">
        <w:rPr>
          <w:rFonts w:ascii="Sylfaen" w:eastAsia="Times New Roman" w:hAnsi="Sylfaen" w:cs="Times New Roman"/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-22860</wp:posOffset>
            </wp:positionV>
            <wp:extent cx="1996440" cy="1414145"/>
            <wp:effectExtent l="0" t="0" r="0" b="0"/>
            <wp:wrapSquare wrapText="bothSides"/>
            <wp:docPr id="1" name="Picture 1" descr="C:\Users\User\Desktop\ორგანიზაციაზედ\LOGO\LDA-Georg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ორგანიზაციაზედ\LOGO\LDA-Georg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3F9B" w:rsidRPr="00F2236F">
        <w:rPr>
          <w:rFonts w:ascii="Sylfaen" w:eastAsia="Times New Roman" w:hAnsi="Sylfaen" w:cs="Times New Roman"/>
          <w:b/>
          <w:noProof/>
        </w:rPr>
        <w:drawing>
          <wp:inline distT="0" distB="0" distL="0" distR="0">
            <wp:extent cx="2628900" cy="1179372"/>
            <wp:effectExtent l="19050" t="0" r="0" b="0"/>
            <wp:docPr id="7" name="Picture 3" descr="C:\Users\USER\Desktop\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f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534" cy="118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C17" w:rsidRPr="00F2236F" w:rsidRDefault="00586B69" w:rsidP="00974317">
      <w:pPr>
        <w:spacing w:after="120" w:line="360" w:lineRule="auto"/>
        <w:ind w:left="720" w:right="590"/>
        <w:jc w:val="center"/>
        <w:rPr>
          <w:rFonts w:ascii="Sylfaen" w:eastAsia="Times New Roman" w:hAnsi="Sylfaen" w:cs="Sylfaen"/>
          <w:b/>
          <w:lang w:val="ka-GE"/>
        </w:rPr>
      </w:pPr>
      <w:r w:rsidRPr="00F2236F">
        <w:rPr>
          <w:rFonts w:ascii="Sylfaen" w:eastAsia="Times New Roman" w:hAnsi="Sylfaen" w:cs="Sylfaen"/>
          <w:b/>
          <w:lang w:val="ka-GE"/>
        </w:rPr>
        <w:t>ურთიერთთანამშრომლობის</w:t>
      </w:r>
      <w:r w:rsidRPr="00F2236F">
        <w:rPr>
          <w:rFonts w:ascii="AcadNusx" w:eastAsia="Times New Roman" w:hAnsi="AcadNusx" w:cs="AcadNusx"/>
          <w:b/>
          <w:lang w:val="ka-GE"/>
        </w:rPr>
        <w:t xml:space="preserve">  </w:t>
      </w:r>
      <w:r w:rsidRPr="00F2236F">
        <w:rPr>
          <w:rFonts w:ascii="Sylfaen" w:eastAsia="Times New Roman" w:hAnsi="Sylfaen" w:cs="Sylfaen"/>
          <w:b/>
          <w:lang w:val="ka-GE"/>
        </w:rPr>
        <w:t>მემორანდუმი</w:t>
      </w:r>
    </w:p>
    <w:p w:rsidR="009E7F43" w:rsidRPr="00F2236F" w:rsidRDefault="009E7F43" w:rsidP="00974317">
      <w:pPr>
        <w:spacing w:after="120" w:line="360" w:lineRule="auto"/>
        <w:ind w:left="720" w:right="590"/>
        <w:jc w:val="center"/>
        <w:rPr>
          <w:rFonts w:ascii="Sylfaen" w:eastAsia="Times New Roman" w:hAnsi="Sylfaen" w:cs="Times New Roman"/>
          <w:b/>
          <w:lang w:val="ka-GE"/>
        </w:rPr>
      </w:pPr>
    </w:p>
    <w:p w:rsidR="00BA7C17" w:rsidRPr="00F2236F" w:rsidRDefault="00586B69" w:rsidP="00974317">
      <w:pPr>
        <w:spacing w:after="120" w:line="360" w:lineRule="auto"/>
        <w:ind w:left="720" w:right="590"/>
        <w:jc w:val="both"/>
        <w:rPr>
          <w:rFonts w:ascii="AcadNusx" w:eastAsia="Times New Roman" w:hAnsi="AcadNusx" w:cs="Times New Roman"/>
          <w:b/>
          <w:lang w:val="ka-GE"/>
        </w:rPr>
      </w:pPr>
      <w:r w:rsidRPr="00F2236F">
        <w:rPr>
          <w:rFonts w:ascii="AcadNusx" w:eastAsia="Times New Roman" w:hAnsi="AcadNusx" w:cs="Times New Roman"/>
          <w:b/>
          <w:lang w:val="ka-GE"/>
        </w:rPr>
        <w:t xml:space="preserve"> </w:t>
      </w:r>
      <w:r w:rsidRPr="00F2236F">
        <w:rPr>
          <w:rFonts w:ascii="Sylfaen" w:eastAsia="Times New Roman" w:hAnsi="Sylfaen" w:cs="Sylfaen"/>
          <w:b/>
          <w:lang w:val="ka-GE"/>
        </w:rPr>
        <w:t>ქუთაისი</w:t>
      </w:r>
      <w:r w:rsidRPr="00F2236F">
        <w:rPr>
          <w:rFonts w:ascii="AcadNusx" w:eastAsia="Times New Roman" w:hAnsi="AcadNusx" w:cs="AcadNusx"/>
          <w:b/>
          <w:lang w:val="ka-GE"/>
        </w:rPr>
        <w:t xml:space="preserve">                                            </w:t>
      </w:r>
      <w:r w:rsidR="00325FF2" w:rsidRPr="00F2236F">
        <w:rPr>
          <w:rFonts w:ascii="Sylfaen" w:eastAsia="Times New Roman" w:hAnsi="Sylfaen" w:cs="AcadNusx"/>
          <w:b/>
          <w:lang w:val="ka-GE"/>
        </w:rPr>
        <w:t xml:space="preserve">      </w:t>
      </w:r>
      <w:r w:rsidR="0028208F" w:rsidRPr="00F2236F">
        <w:rPr>
          <w:rFonts w:ascii="Sylfaen" w:eastAsia="Times New Roman" w:hAnsi="Sylfaen" w:cs="AcadNusx"/>
          <w:b/>
          <w:lang w:val="ka-GE"/>
        </w:rPr>
        <w:t xml:space="preserve">23 </w:t>
      </w:r>
      <w:r w:rsidRPr="00F2236F">
        <w:rPr>
          <w:rFonts w:ascii="Sylfaen" w:eastAsia="Times New Roman" w:hAnsi="Sylfaen" w:cs="Sylfaen"/>
          <w:b/>
          <w:lang w:val="ka-GE"/>
        </w:rPr>
        <w:t>თებერვალი</w:t>
      </w:r>
      <w:r w:rsidR="00325FF2" w:rsidRPr="00F2236F">
        <w:rPr>
          <w:rFonts w:ascii="AcadNusx" w:eastAsia="Times New Roman" w:hAnsi="AcadNusx" w:cs="AcadNusx"/>
          <w:b/>
          <w:lang w:val="ka-GE"/>
        </w:rPr>
        <w:t xml:space="preserve">, </w:t>
      </w:r>
      <w:r w:rsidRPr="00F2236F">
        <w:rPr>
          <w:rFonts w:ascii="AcadNusx" w:eastAsia="Times New Roman" w:hAnsi="AcadNusx" w:cs="AcadNusx"/>
          <w:b/>
          <w:lang w:val="ka-GE"/>
        </w:rPr>
        <w:t>2017</w:t>
      </w:r>
      <w:r w:rsidR="00325FF2" w:rsidRPr="00F2236F">
        <w:rPr>
          <w:rFonts w:ascii="Sylfaen" w:eastAsia="Times New Roman" w:hAnsi="Sylfaen" w:cs="AcadNusx"/>
          <w:b/>
          <w:lang w:val="ka-GE"/>
        </w:rPr>
        <w:t xml:space="preserve"> </w:t>
      </w:r>
      <w:r w:rsidRPr="00F2236F">
        <w:rPr>
          <w:rFonts w:ascii="Sylfaen" w:eastAsia="Times New Roman" w:hAnsi="Sylfaen" w:cs="Sylfaen"/>
          <w:b/>
          <w:lang w:val="ka-GE"/>
        </w:rPr>
        <w:t>წ</w:t>
      </w:r>
      <w:r w:rsidRPr="00F2236F">
        <w:rPr>
          <w:rFonts w:ascii="AcadNusx" w:eastAsia="Times New Roman" w:hAnsi="AcadNusx" w:cs="AcadNusx"/>
          <w:b/>
          <w:lang w:val="ka-GE"/>
        </w:rPr>
        <w:t>.</w:t>
      </w:r>
      <w:r w:rsidRPr="00F2236F">
        <w:rPr>
          <w:rFonts w:ascii="AcadNusx" w:eastAsia="Times New Roman" w:hAnsi="AcadNusx" w:cs="Times New Roman"/>
          <w:b/>
          <w:lang w:val="ka-GE"/>
        </w:rPr>
        <w:t xml:space="preserve"> </w:t>
      </w:r>
    </w:p>
    <w:p w:rsidR="00641AB2" w:rsidRPr="00F2236F" w:rsidRDefault="00641AB2" w:rsidP="00974317">
      <w:pPr>
        <w:spacing w:after="120" w:line="360" w:lineRule="auto"/>
        <w:ind w:left="720" w:right="590"/>
        <w:jc w:val="both"/>
        <w:rPr>
          <w:rFonts w:ascii="Sylfaen" w:eastAsia="Times New Roman" w:hAnsi="Sylfaen" w:cs="Sylfaen"/>
          <w:b/>
          <w:lang w:val="ka-GE"/>
        </w:rPr>
      </w:pPr>
    </w:p>
    <w:p w:rsidR="00641AB2" w:rsidRPr="00F2236F" w:rsidRDefault="00974317" w:rsidP="00974317">
      <w:pPr>
        <w:spacing w:after="120" w:line="360" w:lineRule="auto"/>
        <w:ind w:left="720" w:right="590"/>
        <w:jc w:val="both"/>
        <w:rPr>
          <w:rFonts w:ascii="Sylfaen" w:eastAsia="Times New Roman" w:hAnsi="Sylfaen" w:cs="Sylfaen"/>
          <w:b/>
        </w:rPr>
      </w:pPr>
      <w:r w:rsidRPr="00F2236F">
        <w:rPr>
          <w:rFonts w:ascii="Sylfaen" w:eastAsia="Times New Roman" w:hAnsi="Sylfaen" w:cs="Sylfaen"/>
          <w:b/>
        </w:rPr>
        <w:tab/>
      </w:r>
      <w:r w:rsidR="00641AB2" w:rsidRPr="00F2236F">
        <w:rPr>
          <w:rFonts w:ascii="Sylfaen" w:eastAsia="Times New Roman" w:hAnsi="Sylfaen" w:cs="Sylfaen"/>
          <w:b/>
        </w:rPr>
        <w:t>I</w:t>
      </w:r>
      <w:r w:rsidR="00641AB2" w:rsidRPr="00F2236F">
        <w:rPr>
          <w:rFonts w:ascii="Sylfaen" w:eastAsia="Times New Roman" w:hAnsi="Sylfaen" w:cs="Sylfaen"/>
          <w:b/>
          <w:lang w:val="ka-GE"/>
        </w:rPr>
        <w:t xml:space="preserve"> ზოგადი ნაწილი </w:t>
      </w:r>
    </w:p>
    <w:p w:rsidR="0073595A" w:rsidRPr="00F2236F" w:rsidRDefault="009E7F43" w:rsidP="000750B7">
      <w:pPr>
        <w:spacing w:after="120" w:line="360" w:lineRule="auto"/>
        <w:ind w:left="720" w:right="590"/>
        <w:jc w:val="both"/>
        <w:rPr>
          <w:rFonts w:ascii="AcadNusx" w:eastAsia="Times New Roman" w:hAnsi="AcadNusx" w:cs="AcadNusx"/>
        </w:rPr>
      </w:pPr>
      <w:r w:rsidRPr="00F2236F">
        <w:rPr>
          <w:rFonts w:ascii="Sylfaen" w:eastAsia="Times New Roman" w:hAnsi="Sylfaen" w:cs="Sylfaen"/>
          <w:lang w:val="ka-GE"/>
        </w:rPr>
        <w:t xml:space="preserve">ერთი მხრივ, </w:t>
      </w:r>
      <w:r w:rsidRPr="00F2236F">
        <w:rPr>
          <w:rFonts w:ascii="AcadNusx" w:eastAsia="Times New Roman" w:hAnsi="AcadNusx" w:cs="AcadNusx"/>
          <w:lang w:val="ka-GE"/>
        </w:rPr>
        <w:t xml:space="preserve">  </w:t>
      </w:r>
      <w:r w:rsidRPr="00F2236F">
        <w:rPr>
          <w:rFonts w:ascii="Sylfaen" w:eastAsia="Times New Roman" w:hAnsi="Sylfaen" w:cs="Sylfaen"/>
          <w:lang w:val="ka-GE"/>
        </w:rPr>
        <w:t>იმერეთში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სახელმწიფო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რწმუნებული</w:t>
      </w:r>
      <w:r w:rsidR="00974317" w:rsidRPr="00F2236F">
        <w:rPr>
          <w:rFonts w:ascii="Sylfaen" w:eastAsia="Times New Roman" w:hAnsi="Sylfaen" w:cs="Sylfaen"/>
        </w:rPr>
        <w:t>-</w:t>
      </w:r>
      <w:r w:rsidRPr="00F2236F">
        <w:rPr>
          <w:rFonts w:ascii="Sylfaen" w:eastAsia="Times New Roman" w:hAnsi="Sylfaen" w:cs="Sylfaen"/>
          <w:lang w:val="ka-GE"/>
        </w:rPr>
        <w:t>გუნერნატორი</w:t>
      </w:r>
      <w:r w:rsidR="000750B7"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გივი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ჭიჭინაძე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და</w:t>
      </w:r>
      <w:r w:rsidR="00533DA4" w:rsidRPr="00F2236F">
        <w:rPr>
          <w:rFonts w:ascii="Sylfaen" w:eastAsia="Times New Roman" w:hAnsi="Sylfaen" w:cs="Sylfaen"/>
          <w:lang w:val="ka-GE"/>
        </w:rPr>
        <w:t>,</w:t>
      </w:r>
    </w:p>
    <w:p w:rsidR="00586B69" w:rsidRPr="00F2236F" w:rsidRDefault="00533DA4" w:rsidP="000750B7">
      <w:pPr>
        <w:spacing w:after="120" w:line="360" w:lineRule="auto"/>
        <w:ind w:left="720" w:right="590"/>
        <w:jc w:val="both"/>
        <w:rPr>
          <w:rFonts w:ascii="Sylfaen" w:eastAsia="Times New Roman" w:hAnsi="Sylfaen" w:cs="Times New Roman"/>
          <w:lang w:val="ka-GE"/>
        </w:rPr>
      </w:pPr>
      <w:r w:rsidRPr="00F2236F">
        <w:rPr>
          <w:rFonts w:ascii="Sylfaen" w:eastAsia="Times New Roman" w:hAnsi="Sylfaen" w:cs="AcadNusx"/>
          <w:lang w:val="ka-GE"/>
        </w:rPr>
        <w:t xml:space="preserve">მეორე </w:t>
      </w:r>
      <w:r w:rsidR="00586B69" w:rsidRPr="00F2236F">
        <w:rPr>
          <w:rFonts w:ascii="Sylfaen" w:eastAsia="Times New Roman" w:hAnsi="Sylfaen" w:cs="Sylfaen"/>
          <w:lang w:val="ka-GE"/>
        </w:rPr>
        <w:t>მხრივ</w:t>
      </w:r>
      <w:r w:rsidRPr="00F2236F">
        <w:rPr>
          <w:rFonts w:ascii="Sylfaen" w:eastAsia="Times New Roman" w:hAnsi="Sylfaen" w:cs="Sylfaen"/>
          <w:lang w:val="ka-GE"/>
        </w:rPr>
        <w:t>,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აღმოსავლეთ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პარტნიორობის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სამოქალაქო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საზოგადოების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ფორუმის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საქართველოს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ეროვნული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პლატფორმის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თავმჯდომარე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კახა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გოგოლაშვილი და</w:t>
      </w:r>
      <w:r w:rsidR="00FC0A81" w:rsidRPr="00F2236F">
        <w:rPr>
          <w:rFonts w:ascii="Sylfaen" w:eastAsia="Times New Roman" w:hAnsi="Sylfaen" w:cs="Sylfaen"/>
          <w:lang w:val="ka-GE"/>
        </w:rPr>
        <w:t xml:space="preserve"> ა(ა)იპ </w:t>
      </w:r>
      <w:r w:rsidR="00586B69" w:rsidRPr="00F2236F">
        <w:rPr>
          <w:rFonts w:ascii="AcadNusx" w:eastAsia="Times New Roman" w:hAnsi="AcadNusx" w:cs="AcadNusx"/>
          <w:lang w:val="ka-GE"/>
        </w:rPr>
        <w:t>,,</w:t>
      </w:r>
      <w:r w:rsidR="00586B69" w:rsidRPr="00F2236F">
        <w:rPr>
          <w:rFonts w:ascii="Sylfaen" w:eastAsia="Times New Roman" w:hAnsi="Sylfaen" w:cs="Sylfaen"/>
          <w:lang w:val="ka-GE"/>
        </w:rPr>
        <w:t>ადგილობრივი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დემოკრატიის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სააგენტო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საქართველო</w:t>
      </w:r>
      <w:r w:rsidR="00586B69" w:rsidRPr="00F2236F">
        <w:rPr>
          <w:rFonts w:ascii="AcadNusx" w:eastAsia="Times New Roman" w:hAnsi="AcadNusx" w:cs="AcadNusx"/>
          <w:lang w:val="ka-GE"/>
        </w:rPr>
        <w:t>“</w:t>
      </w:r>
      <w:r w:rsidRPr="00F2236F">
        <w:rPr>
          <w:rFonts w:ascii="Sylfaen" w:eastAsia="Times New Roman" w:hAnsi="Sylfaen" w:cs="AcadNusx"/>
          <w:lang w:val="ka-GE"/>
        </w:rPr>
        <w:t>-ს აღმასრულებელი დირექტ</w:t>
      </w:r>
      <w:r w:rsidR="000750B7" w:rsidRPr="00F2236F">
        <w:rPr>
          <w:rFonts w:ascii="Sylfaen" w:eastAsia="Times New Roman" w:hAnsi="Sylfaen" w:cs="AcadNusx"/>
          <w:lang w:val="ka-GE"/>
        </w:rPr>
        <w:t>ო</w:t>
      </w:r>
      <w:r w:rsidRPr="00F2236F">
        <w:rPr>
          <w:rFonts w:ascii="Sylfaen" w:eastAsia="Times New Roman" w:hAnsi="Sylfaen" w:cs="AcadNusx"/>
          <w:lang w:val="ka-GE"/>
        </w:rPr>
        <w:t xml:space="preserve">რი </w:t>
      </w:r>
      <w:r w:rsidRPr="00F2236F">
        <w:rPr>
          <w:rFonts w:ascii="Sylfaen" w:eastAsia="Times New Roman" w:hAnsi="Sylfaen" w:cs="Sylfaen"/>
          <w:lang w:val="ka-GE"/>
        </w:rPr>
        <w:t>ნინო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ხუხუა</w:t>
      </w:r>
      <w:r w:rsidR="00586B69" w:rsidRPr="00F2236F">
        <w:rPr>
          <w:rFonts w:ascii="AcadNusx" w:eastAsia="Times New Roman" w:hAnsi="AcadNusx" w:cs="AcadNusx"/>
          <w:lang w:val="ka-GE"/>
        </w:rPr>
        <w:t xml:space="preserve">, </w:t>
      </w:r>
      <w:r w:rsidR="00586B69" w:rsidRPr="00F2236F">
        <w:rPr>
          <w:rFonts w:ascii="Sylfaen" w:eastAsia="Times New Roman" w:hAnsi="Sylfaen" w:cs="Sylfaen"/>
          <w:lang w:val="ka-GE"/>
        </w:rPr>
        <w:t>როგორც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აღმოსავლეთ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პარტნიორობის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სამოქალაქო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საზოგადოების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ფორუმის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საქართველოს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ეროვნული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პლატფორმის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რეგიონული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წარმომადგენ</w:t>
      </w:r>
      <w:r w:rsidR="009E7F43" w:rsidRPr="00F2236F">
        <w:rPr>
          <w:rFonts w:ascii="Sylfaen" w:eastAsia="Times New Roman" w:hAnsi="Sylfaen" w:cs="Sylfaen"/>
          <w:lang w:val="ka-GE"/>
        </w:rPr>
        <w:t>ელი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იმერეთი</w:t>
      </w:r>
      <w:r w:rsidR="009E7F43" w:rsidRPr="00F2236F">
        <w:rPr>
          <w:rFonts w:ascii="Sylfaen" w:eastAsia="Times New Roman" w:hAnsi="Sylfaen" w:cs="Sylfaen"/>
          <w:lang w:val="ka-GE"/>
        </w:rPr>
        <w:t>ს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მხარეში</w:t>
      </w:r>
      <w:r w:rsidR="000750B7" w:rsidRPr="00F2236F">
        <w:rPr>
          <w:rFonts w:ascii="Sylfaen" w:eastAsia="Times New Roman" w:hAnsi="Sylfaen" w:cs="Sylfaen"/>
          <w:lang w:val="ka-GE"/>
        </w:rPr>
        <w:t xml:space="preserve"> </w:t>
      </w:r>
      <w:r w:rsidR="0069341F" w:rsidRPr="00F2236F">
        <w:rPr>
          <w:rFonts w:ascii="Sylfaen" w:eastAsia="Times New Roman" w:hAnsi="Sylfaen" w:cs="Sylfaen"/>
          <w:lang w:val="ka-GE"/>
        </w:rPr>
        <w:t>თანხმდებიან წინამდებარე</w:t>
      </w:r>
      <w:r w:rsidR="0069341F" w:rsidRPr="00F2236F">
        <w:rPr>
          <w:rFonts w:ascii="AcadNusx" w:eastAsia="Times New Roman" w:hAnsi="AcadNusx" w:cs="AcadNusx"/>
          <w:lang w:val="ka-GE"/>
        </w:rPr>
        <w:t xml:space="preserve"> </w:t>
      </w:r>
      <w:r w:rsidR="0069341F" w:rsidRPr="00F2236F">
        <w:rPr>
          <w:rFonts w:ascii="Sylfaen" w:eastAsia="Times New Roman" w:hAnsi="Sylfaen" w:cs="Sylfaen"/>
          <w:lang w:val="ka-GE"/>
        </w:rPr>
        <w:t>მემორანდუმზე, რომლის</w:t>
      </w:r>
      <w:r w:rsidR="0069341F" w:rsidRPr="00F2236F">
        <w:rPr>
          <w:rFonts w:ascii="AcadNusx" w:eastAsia="Times New Roman" w:hAnsi="AcadNusx" w:cs="AcadNusx"/>
          <w:lang w:val="ka-GE"/>
        </w:rPr>
        <w:t xml:space="preserve"> </w:t>
      </w:r>
      <w:r w:rsidR="0069341F" w:rsidRPr="00F2236F">
        <w:rPr>
          <w:rFonts w:ascii="Sylfaen" w:eastAsia="Times New Roman" w:hAnsi="Sylfaen" w:cs="Sylfaen"/>
          <w:lang w:val="ka-GE"/>
        </w:rPr>
        <w:t>მიზანია</w:t>
      </w:r>
      <w:r w:rsidR="0069341F" w:rsidRPr="00F2236F">
        <w:rPr>
          <w:rFonts w:ascii="AcadNusx" w:eastAsia="Times New Roman" w:hAnsi="AcadNusx" w:cs="AcadNusx"/>
          <w:lang w:val="ka-GE"/>
        </w:rPr>
        <w:t xml:space="preserve"> </w:t>
      </w:r>
      <w:r w:rsidR="0069341F" w:rsidRPr="00F2236F">
        <w:rPr>
          <w:rFonts w:ascii="Sylfaen" w:eastAsia="Times New Roman" w:hAnsi="Sylfaen" w:cs="Sylfaen"/>
          <w:color w:val="0D0D0D" w:themeColor="text1" w:themeTint="F2"/>
          <w:lang w:val="ka-GE"/>
        </w:rPr>
        <w:t>ურთიერთთანამშრომლობ</w:t>
      </w:r>
      <w:r w:rsidR="00376A3B" w:rsidRPr="00F2236F">
        <w:rPr>
          <w:rFonts w:ascii="Sylfaen" w:eastAsia="Times New Roman" w:hAnsi="Sylfaen" w:cs="Sylfaen"/>
          <w:color w:val="0D0D0D" w:themeColor="text1" w:themeTint="F2"/>
          <w:lang w:val="ka-GE"/>
        </w:rPr>
        <w:t>ა</w:t>
      </w:r>
      <w:r w:rsidR="00446C75" w:rsidRPr="00F2236F">
        <w:rPr>
          <w:rFonts w:ascii="AcadNusx" w:eastAsia="Times New Roman" w:hAnsi="AcadNusx" w:cs="AcadNusx"/>
          <w:color w:val="0D0D0D" w:themeColor="text1" w:themeTint="F2"/>
          <w:lang w:val="ka-GE"/>
        </w:rPr>
        <w:t xml:space="preserve"> </w:t>
      </w:r>
      <w:r w:rsidR="0069341F" w:rsidRPr="00F2236F">
        <w:rPr>
          <w:rFonts w:ascii="Sylfaen" w:eastAsia="Times New Roman" w:hAnsi="Sylfaen" w:cs="Sylfaen"/>
          <w:color w:val="0D0D0D" w:themeColor="text1" w:themeTint="F2"/>
          <w:lang w:val="ka-GE"/>
        </w:rPr>
        <w:t>იმერეთში</w:t>
      </w:r>
      <w:r w:rsidR="0069341F" w:rsidRPr="00F2236F">
        <w:rPr>
          <w:rFonts w:ascii="AcadNusx" w:eastAsia="Times New Roman" w:hAnsi="AcadNusx" w:cs="AcadNusx"/>
          <w:lang w:val="ka-GE"/>
        </w:rPr>
        <w:t xml:space="preserve"> </w:t>
      </w:r>
      <w:r w:rsidR="0069341F" w:rsidRPr="00F2236F">
        <w:rPr>
          <w:rFonts w:ascii="Sylfaen" w:eastAsia="Times New Roman" w:hAnsi="Sylfaen" w:cs="Sylfaen"/>
          <w:lang w:val="ka-GE"/>
        </w:rPr>
        <w:t>სახელმწიფო</w:t>
      </w:r>
      <w:r w:rsidR="0069341F" w:rsidRPr="00F2236F">
        <w:rPr>
          <w:rFonts w:ascii="AcadNusx" w:eastAsia="Times New Roman" w:hAnsi="AcadNusx" w:cs="AcadNusx"/>
          <w:lang w:val="ka-GE"/>
        </w:rPr>
        <w:t xml:space="preserve"> </w:t>
      </w:r>
      <w:r w:rsidR="00376A3B" w:rsidRPr="00F2236F">
        <w:rPr>
          <w:rFonts w:ascii="Sylfaen" w:eastAsia="Times New Roman" w:hAnsi="Sylfaen" w:cs="Sylfaen"/>
          <w:lang w:val="ka-GE"/>
        </w:rPr>
        <w:t>რწმუნებული</w:t>
      </w:r>
      <w:r w:rsidR="0069341F" w:rsidRPr="00F2236F">
        <w:rPr>
          <w:rFonts w:ascii="Sylfaen" w:eastAsia="Times New Roman" w:hAnsi="Sylfaen" w:cs="Sylfaen"/>
          <w:lang w:val="ka-GE"/>
        </w:rPr>
        <w:t>ს</w:t>
      </w:r>
      <w:r w:rsidR="00974317" w:rsidRPr="00F2236F">
        <w:rPr>
          <w:rFonts w:ascii="Sylfaen" w:eastAsia="Times New Roman" w:hAnsi="Sylfaen" w:cs="Sylfaen"/>
        </w:rPr>
        <w:t>-</w:t>
      </w:r>
      <w:r w:rsidR="0069341F" w:rsidRPr="00F2236F">
        <w:rPr>
          <w:rFonts w:ascii="Sylfaen" w:eastAsia="Times New Roman" w:hAnsi="Sylfaen" w:cs="Sylfaen"/>
          <w:lang w:val="ka-GE"/>
        </w:rPr>
        <w:t>გუბერნატორ</w:t>
      </w:r>
      <w:r w:rsidR="00376A3B" w:rsidRPr="00F2236F">
        <w:rPr>
          <w:rFonts w:ascii="Sylfaen" w:eastAsia="Times New Roman" w:hAnsi="Sylfaen" w:cs="Sylfaen"/>
          <w:lang w:val="ka-GE"/>
        </w:rPr>
        <w:t>ი</w:t>
      </w:r>
      <w:r w:rsidR="0069341F" w:rsidRPr="00F2236F">
        <w:rPr>
          <w:rFonts w:ascii="Sylfaen" w:eastAsia="Times New Roman" w:hAnsi="Sylfaen" w:cs="Sylfaen"/>
          <w:lang w:val="ka-GE"/>
        </w:rPr>
        <w:t>სა</w:t>
      </w:r>
      <w:r w:rsidR="0069341F" w:rsidRPr="00F2236F">
        <w:rPr>
          <w:rFonts w:ascii="AcadNusx" w:eastAsia="Times New Roman" w:hAnsi="AcadNusx" w:cs="AcadNusx"/>
          <w:lang w:val="ka-GE"/>
        </w:rPr>
        <w:t xml:space="preserve"> </w:t>
      </w:r>
      <w:r w:rsidR="0069341F" w:rsidRPr="00F2236F">
        <w:rPr>
          <w:rFonts w:ascii="Sylfaen" w:eastAsia="Times New Roman" w:hAnsi="Sylfaen" w:cs="Sylfaen"/>
          <w:lang w:val="ka-GE"/>
        </w:rPr>
        <w:t>და</w:t>
      </w:r>
      <w:r w:rsidR="0069341F" w:rsidRPr="00F2236F">
        <w:rPr>
          <w:rFonts w:ascii="AcadNusx" w:eastAsia="Times New Roman" w:hAnsi="AcadNusx" w:cs="AcadNusx"/>
          <w:lang w:val="ka-GE"/>
        </w:rPr>
        <w:t xml:space="preserve"> </w:t>
      </w:r>
      <w:r w:rsidR="0069341F" w:rsidRPr="00F2236F">
        <w:rPr>
          <w:rFonts w:ascii="Sylfaen" w:eastAsia="Times New Roman" w:hAnsi="Sylfaen" w:cs="Sylfaen"/>
          <w:lang w:val="ka-GE"/>
        </w:rPr>
        <w:t>სამოქალაქო</w:t>
      </w:r>
      <w:r w:rsidR="0069341F" w:rsidRPr="00F2236F">
        <w:rPr>
          <w:rFonts w:ascii="AcadNusx" w:eastAsia="Times New Roman" w:hAnsi="AcadNusx" w:cs="AcadNusx"/>
          <w:lang w:val="ka-GE"/>
        </w:rPr>
        <w:t xml:space="preserve"> </w:t>
      </w:r>
      <w:r w:rsidR="0069341F" w:rsidRPr="00F2236F">
        <w:rPr>
          <w:rFonts w:ascii="Sylfaen" w:eastAsia="Times New Roman" w:hAnsi="Sylfaen" w:cs="Sylfaen"/>
          <w:lang w:val="ka-GE"/>
        </w:rPr>
        <w:t>საზოგადოებას</w:t>
      </w:r>
      <w:r w:rsidR="0069341F" w:rsidRPr="00F2236F">
        <w:rPr>
          <w:rFonts w:ascii="AcadNusx" w:eastAsia="Times New Roman" w:hAnsi="AcadNusx" w:cs="AcadNusx"/>
          <w:lang w:val="ka-GE"/>
        </w:rPr>
        <w:t xml:space="preserve"> </w:t>
      </w:r>
      <w:r w:rsidR="0069341F" w:rsidRPr="00F2236F">
        <w:rPr>
          <w:rFonts w:ascii="Sylfaen" w:eastAsia="Times New Roman" w:hAnsi="Sylfaen" w:cs="Sylfaen"/>
          <w:lang w:val="ka-GE"/>
        </w:rPr>
        <w:t>შორის</w:t>
      </w:r>
      <w:r w:rsidR="0069341F" w:rsidRPr="00F2236F">
        <w:rPr>
          <w:rFonts w:ascii="AcadNusx" w:eastAsia="Times New Roman" w:hAnsi="AcadNusx" w:cs="AcadNusx"/>
          <w:lang w:val="ka-GE"/>
        </w:rPr>
        <w:t xml:space="preserve"> </w:t>
      </w:r>
      <w:r w:rsidR="0069341F" w:rsidRPr="00F2236F">
        <w:rPr>
          <w:rFonts w:ascii="Sylfaen" w:eastAsia="Times New Roman" w:hAnsi="Sylfaen" w:cs="Sylfaen"/>
          <w:lang w:val="ka-GE"/>
        </w:rPr>
        <w:t>საქართველოს</w:t>
      </w:r>
      <w:r w:rsidR="0069341F" w:rsidRPr="00F2236F">
        <w:rPr>
          <w:rFonts w:ascii="AcadNusx" w:eastAsia="Times New Roman" w:hAnsi="AcadNusx" w:cs="AcadNusx"/>
          <w:lang w:val="ka-GE"/>
        </w:rPr>
        <w:t xml:space="preserve"> </w:t>
      </w:r>
      <w:r w:rsidR="0069341F" w:rsidRPr="00F2236F">
        <w:rPr>
          <w:rFonts w:ascii="Sylfaen" w:eastAsia="Times New Roman" w:hAnsi="Sylfaen" w:cs="Sylfaen"/>
          <w:lang w:val="ka-GE"/>
        </w:rPr>
        <w:t>ევროკავშირთან</w:t>
      </w:r>
      <w:r w:rsidR="0069341F" w:rsidRPr="00F2236F">
        <w:rPr>
          <w:rFonts w:ascii="AcadNusx" w:eastAsia="Times New Roman" w:hAnsi="AcadNusx" w:cs="AcadNusx"/>
          <w:lang w:val="ka-GE"/>
        </w:rPr>
        <w:t xml:space="preserve"> </w:t>
      </w:r>
      <w:r w:rsidR="0069341F" w:rsidRPr="00F2236F">
        <w:rPr>
          <w:rFonts w:ascii="Sylfaen" w:eastAsia="Times New Roman" w:hAnsi="Sylfaen" w:cs="Sylfaen"/>
          <w:lang w:val="ka-GE"/>
        </w:rPr>
        <w:t>ინტეგრაციის</w:t>
      </w:r>
      <w:r w:rsidR="0069341F" w:rsidRPr="00F2236F">
        <w:rPr>
          <w:rFonts w:ascii="AcadNusx" w:eastAsia="Times New Roman" w:hAnsi="AcadNusx" w:cs="AcadNusx"/>
          <w:lang w:val="ka-GE"/>
        </w:rPr>
        <w:t xml:space="preserve"> </w:t>
      </w:r>
      <w:r w:rsidR="0069341F" w:rsidRPr="00F2236F">
        <w:rPr>
          <w:rFonts w:ascii="Sylfaen" w:eastAsia="Times New Roman" w:hAnsi="Sylfaen" w:cs="Sylfaen"/>
          <w:lang w:val="ka-GE"/>
        </w:rPr>
        <w:t>პროცესის</w:t>
      </w:r>
      <w:r w:rsidR="0069341F" w:rsidRPr="00F2236F">
        <w:rPr>
          <w:rFonts w:ascii="AcadNusx" w:eastAsia="Times New Roman" w:hAnsi="AcadNusx" w:cs="AcadNusx"/>
          <w:lang w:val="ka-GE"/>
        </w:rPr>
        <w:t xml:space="preserve"> </w:t>
      </w:r>
      <w:r w:rsidR="0069341F" w:rsidRPr="00F2236F">
        <w:rPr>
          <w:rFonts w:ascii="Sylfaen" w:eastAsia="Times New Roman" w:hAnsi="Sylfaen" w:cs="Sylfaen"/>
          <w:lang w:val="ka-GE"/>
        </w:rPr>
        <w:t>ხელშეწყობისთვის</w:t>
      </w:r>
      <w:r w:rsidR="0069341F" w:rsidRPr="00F2236F">
        <w:rPr>
          <w:rFonts w:ascii="AcadNusx" w:eastAsia="Times New Roman" w:hAnsi="AcadNusx" w:cs="AcadNusx"/>
          <w:lang w:val="ka-GE"/>
        </w:rPr>
        <w:t xml:space="preserve">.                                                                </w:t>
      </w:r>
    </w:p>
    <w:p w:rsidR="00AA5425" w:rsidRPr="00F2236F" w:rsidRDefault="00641AB2" w:rsidP="00974317">
      <w:pPr>
        <w:spacing w:after="120" w:line="360" w:lineRule="auto"/>
        <w:ind w:left="720" w:right="590"/>
        <w:jc w:val="both"/>
        <w:rPr>
          <w:rFonts w:ascii="Sylfaen" w:eastAsia="Times New Roman" w:hAnsi="Sylfaen" w:cs="Sylfaen"/>
          <w:b/>
        </w:rPr>
      </w:pPr>
      <w:r w:rsidRPr="00F2236F">
        <w:rPr>
          <w:rFonts w:ascii="Sylfaen" w:eastAsia="Times New Roman" w:hAnsi="Sylfaen" w:cs="Sylfaen"/>
          <w:b/>
        </w:rPr>
        <w:t>II</w:t>
      </w:r>
      <w:r w:rsidRPr="00F2236F">
        <w:rPr>
          <w:rFonts w:ascii="Sylfaen" w:eastAsia="Times New Roman" w:hAnsi="Sylfaen" w:cs="Sylfaen"/>
          <w:b/>
          <w:lang w:val="ka-GE"/>
        </w:rPr>
        <w:t xml:space="preserve"> </w:t>
      </w:r>
      <w:r w:rsidR="00AA5425" w:rsidRPr="00F2236F">
        <w:rPr>
          <w:rFonts w:ascii="Sylfaen" w:eastAsia="Times New Roman" w:hAnsi="Sylfaen" w:cs="Sylfaen"/>
          <w:b/>
          <w:lang w:val="ka-GE"/>
        </w:rPr>
        <w:t>თანამშრომლობის სფერო</w:t>
      </w:r>
      <w:r w:rsidRPr="00F2236F">
        <w:rPr>
          <w:rFonts w:ascii="Sylfaen" w:eastAsia="Times New Roman" w:hAnsi="Sylfaen" w:cs="Sylfaen"/>
          <w:b/>
        </w:rPr>
        <w:t xml:space="preserve"> </w:t>
      </w:r>
    </w:p>
    <w:p w:rsidR="00641AB2" w:rsidRPr="00F2236F" w:rsidRDefault="0069341F" w:rsidP="00FC0A81">
      <w:pPr>
        <w:spacing w:after="120" w:line="360" w:lineRule="auto"/>
        <w:ind w:left="720" w:right="590" w:firstLine="720"/>
        <w:jc w:val="both"/>
        <w:rPr>
          <w:rFonts w:ascii="Sylfaen" w:eastAsia="Times New Roman" w:hAnsi="Sylfaen" w:cs="AcadNusx"/>
          <w:lang w:val="ka-GE"/>
        </w:rPr>
      </w:pPr>
      <w:r w:rsidRPr="00F2236F">
        <w:rPr>
          <w:rFonts w:ascii="Sylfaen" w:eastAsia="Times New Roman" w:hAnsi="Sylfaen" w:cs="Sylfaen"/>
          <w:lang w:val="ka-GE"/>
        </w:rPr>
        <w:t xml:space="preserve">მხარეები </w:t>
      </w:r>
      <w:r w:rsidR="00D87554" w:rsidRPr="00F2236F">
        <w:rPr>
          <w:rFonts w:ascii="Sylfaen" w:eastAsia="Times New Roman" w:hAnsi="Sylfaen" w:cs="Sylfaen"/>
          <w:lang w:val="ka-GE"/>
        </w:rPr>
        <w:t>თანხმდე</w:t>
      </w:r>
      <w:r w:rsidR="00376A3B" w:rsidRPr="00F2236F">
        <w:rPr>
          <w:rFonts w:ascii="Sylfaen" w:eastAsia="Times New Roman" w:hAnsi="Sylfaen" w:cs="Sylfaen"/>
          <w:lang w:val="ka-GE"/>
        </w:rPr>
        <w:t>ბ</w:t>
      </w:r>
      <w:r w:rsidR="00586B69" w:rsidRPr="00F2236F">
        <w:rPr>
          <w:rFonts w:ascii="Sylfaen" w:eastAsia="Times New Roman" w:hAnsi="Sylfaen" w:cs="Sylfaen"/>
          <w:lang w:val="ka-GE"/>
        </w:rPr>
        <w:t>იან</w:t>
      </w:r>
      <w:r w:rsidR="00586B69" w:rsidRPr="00F2236F">
        <w:rPr>
          <w:rFonts w:ascii="AcadNusx" w:eastAsia="Times New Roman" w:hAnsi="AcadNusx" w:cs="AcadNusx"/>
          <w:lang w:val="ka-GE"/>
        </w:rPr>
        <w:t xml:space="preserve">, </w:t>
      </w:r>
      <w:r w:rsidR="00586B69" w:rsidRPr="00F2236F">
        <w:rPr>
          <w:rFonts w:ascii="Sylfaen" w:eastAsia="Times New Roman" w:hAnsi="Sylfaen" w:cs="Sylfaen"/>
          <w:lang w:val="ka-GE"/>
        </w:rPr>
        <w:t>რომ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აუცილებელია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იმერეთის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C73A9E" w:rsidRPr="00F2236F">
        <w:rPr>
          <w:rFonts w:ascii="Sylfaen" w:eastAsia="Times New Roman" w:hAnsi="Sylfaen" w:cs="Sylfaen"/>
          <w:lang w:val="ka-GE"/>
        </w:rPr>
        <w:t>მხარეში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საზოგადოების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ცნობიერების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ამაღლება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ევროპული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ინტეგრაციის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პროცესის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შესახებ</w:t>
      </w:r>
      <w:r w:rsidR="00586B69" w:rsidRPr="00F2236F">
        <w:rPr>
          <w:rFonts w:ascii="AcadNusx" w:eastAsia="Times New Roman" w:hAnsi="AcadNusx" w:cs="AcadNusx"/>
          <w:lang w:val="ka-GE"/>
        </w:rPr>
        <w:t xml:space="preserve">, </w:t>
      </w:r>
      <w:r w:rsidR="00586B69" w:rsidRPr="00F2236F">
        <w:rPr>
          <w:rFonts w:ascii="Sylfaen" w:eastAsia="Times New Roman" w:hAnsi="Sylfaen" w:cs="Sylfaen"/>
          <w:lang w:val="ka-GE"/>
        </w:rPr>
        <w:t>სამოქალაქო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სექტორის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ჩართულობის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უზრუნველყოფა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ასოცირების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სამოქმედო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გეგმის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განხორციელების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პროცესში</w:t>
      </w:r>
      <w:r w:rsidR="00586B69" w:rsidRPr="00F2236F">
        <w:rPr>
          <w:rFonts w:ascii="AcadNusx" w:eastAsia="Times New Roman" w:hAnsi="AcadNusx" w:cs="AcadNusx"/>
          <w:lang w:val="ka-GE"/>
        </w:rPr>
        <w:t xml:space="preserve">, </w:t>
      </w:r>
      <w:r w:rsidR="00586B69" w:rsidRPr="00F2236F">
        <w:rPr>
          <w:rFonts w:ascii="Sylfaen" w:eastAsia="Times New Roman" w:hAnsi="Sylfaen" w:cs="Sylfaen"/>
          <w:lang w:val="ka-GE"/>
        </w:rPr>
        <w:t>საქართველოს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კანონმდებლობის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ჰარმონიზაციის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ხელშეწყობა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ევროკავშირის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კანონმდებლობასთან</w:t>
      </w:r>
      <w:r w:rsidR="00586B69" w:rsidRPr="00F2236F">
        <w:rPr>
          <w:rFonts w:ascii="AcadNusx" w:eastAsia="Times New Roman" w:hAnsi="AcadNusx" w:cs="AcadNusx"/>
          <w:lang w:val="ka-GE"/>
        </w:rPr>
        <w:t xml:space="preserve">, </w:t>
      </w:r>
      <w:r w:rsidR="00586B69" w:rsidRPr="00F2236F">
        <w:rPr>
          <w:rFonts w:ascii="Sylfaen" w:eastAsia="Times New Roman" w:hAnsi="Sylfaen" w:cs="Sylfaen"/>
          <w:lang w:val="ka-GE"/>
        </w:rPr>
        <w:t>რეგიონული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განვითარება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და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F659AF" w:rsidRPr="00F2236F">
        <w:rPr>
          <w:rFonts w:ascii="Sylfaen" w:eastAsia="Times New Roman" w:hAnsi="Sylfaen" w:cs="Sylfaen"/>
          <w:lang w:val="ka-GE"/>
        </w:rPr>
        <w:t>რეგიონუ</w:t>
      </w:r>
      <w:r w:rsidR="00586B69" w:rsidRPr="00F2236F">
        <w:rPr>
          <w:rFonts w:ascii="Sylfaen" w:eastAsia="Times New Roman" w:hAnsi="Sylfaen" w:cs="Sylfaen"/>
          <w:lang w:val="ka-GE"/>
        </w:rPr>
        <w:t>ლ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დონეზე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თანამშრომლობა</w:t>
      </w:r>
      <w:r w:rsidR="00586B69" w:rsidRPr="00F2236F">
        <w:rPr>
          <w:rFonts w:ascii="AcadNusx" w:eastAsia="Times New Roman" w:hAnsi="AcadNusx" w:cs="AcadNusx"/>
          <w:lang w:val="ka-GE"/>
        </w:rPr>
        <w:t xml:space="preserve">, </w:t>
      </w:r>
      <w:r w:rsidR="00586B69" w:rsidRPr="00F2236F">
        <w:rPr>
          <w:rFonts w:ascii="Sylfaen" w:eastAsia="Times New Roman" w:hAnsi="Sylfaen" w:cs="Sylfaen"/>
          <w:lang w:val="ka-GE"/>
        </w:rPr>
        <w:t>მოქალაქეთა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ჩართულობა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ადგილობრივ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დონეზე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გადაწყვეტილეების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მიღების</w:t>
      </w:r>
      <w:r w:rsidR="00586B69" w:rsidRPr="00F2236F">
        <w:rPr>
          <w:rFonts w:ascii="AcadNusx" w:eastAsia="Times New Roman" w:hAnsi="AcadNusx" w:cs="AcadNusx"/>
          <w:lang w:val="ka-GE"/>
        </w:rPr>
        <w:t xml:space="preserve"> </w:t>
      </w:r>
      <w:r w:rsidR="00586B69" w:rsidRPr="00F2236F">
        <w:rPr>
          <w:rFonts w:ascii="Sylfaen" w:eastAsia="Times New Roman" w:hAnsi="Sylfaen" w:cs="Sylfaen"/>
          <w:lang w:val="ka-GE"/>
        </w:rPr>
        <w:t>პროცესში</w:t>
      </w:r>
      <w:r w:rsidR="00586B69" w:rsidRPr="00F2236F">
        <w:rPr>
          <w:rFonts w:ascii="AcadNusx" w:eastAsia="Times New Roman" w:hAnsi="AcadNusx" w:cs="AcadNusx"/>
          <w:lang w:val="ka-GE"/>
        </w:rPr>
        <w:t>.</w:t>
      </w:r>
      <w:r w:rsidR="00C73A9E" w:rsidRPr="00F2236F">
        <w:rPr>
          <w:rFonts w:ascii="Sylfaen" w:eastAsia="Times New Roman" w:hAnsi="Sylfaen" w:cs="AcadNusx"/>
          <w:lang w:val="ka-GE"/>
        </w:rPr>
        <w:t xml:space="preserve">  </w:t>
      </w:r>
    </w:p>
    <w:p w:rsidR="00974317" w:rsidRPr="00F2236F" w:rsidRDefault="00641AB2">
      <w:pPr>
        <w:spacing w:after="120" w:line="360" w:lineRule="auto"/>
        <w:ind w:left="720" w:right="590"/>
        <w:jc w:val="both"/>
        <w:rPr>
          <w:rFonts w:ascii="Sylfaen" w:hAnsi="Sylfaen" w:cs="Sylfaen"/>
        </w:rPr>
      </w:pPr>
      <w:r w:rsidRPr="00F2236F">
        <w:rPr>
          <w:rFonts w:ascii="Sylfaen" w:hAnsi="Sylfaen"/>
          <w:b/>
        </w:rPr>
        <w:t>III</w:t>
      </w:r>
      <w:r w:rsidRPr="00F2236F">
        <w:rPr>
          <w:rFonts w:ascii="Sylfaen" w:hAnsi="Sylfaen"/>
          <w:b/>
          <w:lang w:val="ka-GE"/>
        </w:rPr>
        <w:t xml:space="preserve"> </w:t>
      </w:r>
      <w:r w:rsidR="00AA5425" w:rsidRPr="00F2236F">
        <w:rPr>
          <w:rFonts w:ascii="Sylfaen" w:hAnsi="Sylfaen"/>
          <w:b/>
          <w:lang w:val="ka-GE"/>
        </w:rPr>
        <w:t>თანამშრომლობა მხარეებს შორის</w:t>
      </w:r>
      <w:r w:rsidRPr="00F2236F">
        <w:rPr>
          <w:rFonts w:ascii="Sylfaen" w:hAnsi="Sylfaen"/>
          <w:b/>
        </w:rPr>
        <w:t xml:space="preserve"> </w:t>
      </w:r>
    </w:p>
    <w:p w:rsidR="00AA5425" w:rsidRPr="00F2236F" w:rsidRDefault="00974317" w:rsidP="00974317">
      <w:pPr>
        <w:spacing w:after="120" w:line="360" w:lineRule="auto"/>
        <w:ind w:left="720" w:right="590"/>
        <w:jc w:val="both"/>
        <w:rPr>
          <w:rFonts w:ascii="Sylfaen" w:hAnsi="Sylfaen"/>
          <w:lang w:val="ka-GE"/>
        </w:rPr>
      </w:pPr>
      <w:r w:rsidRPr="00F2236F">
        <w:rPr>
          <w:rFonts w:ascii="Sylfaen" w:hAnsi="Sylfaen" w:cs="Sylfaen"/>
          <w:lang w:val="ka-GE"/>
        </w:rPr>
        <w:lastRenderedPageBreak/>
        <w:t>თანამ</w:t>
      </w:r>
      <w:r w:rsidR="00497306" w:rsidRPr="00F2236F">
        <w:rPr>
          <w:rFonts w:ascii="Sylfaen" w:hAnsi="Sylfaen" w:cs="Sylfaen"/>
          <w:lang w:val="ka-GE"/>
        </w:rPr>
        <w:t>შ</w:t>
      </w:r>
      <w:r w:rsidRPr="00F2236F">
        <w:rPr>
          <w:rFonts w:ascii="Sylfaen" w:hAnsi="Sylfaen" w:cs="Sylfaen"/>
          <w:lang w:val="ka-GE"/>
        </w:rPr>
        <w:t>რომლობა მხარეებს შორის მოიცავს</w:t>
      </w:r>
      <w:r w:rsidR="00AA5425" w:rsidRPr="00F2236F">
        <w:rPr>
          <w:rFonts w:ascii="AcadNusx" w:hAnsi="AcadNusx"/>
          <w:lang w:val="ka-GE"/>
        </w:rPr>
        <w:t xml:space="preserve">: </w:t>
      </w:r>
    </w:p>
    <w:p w:rsidR="00586B69" w:rsidRPr="00F2236F" w:rsidRDefault="00974317" w:rsidP="006E2584">
      <w:pPr>
        <w:pStyle w:val="ListParagraph"/>
        <w:numPr>
          <w:ilvl w:val="0"/>
          <w:numId w:val="8"/>
        </w:numPr>
        <w:shd w:val="clear" w:color="auto" w:fill="FFFFFF" w:themeFill="background1"/>
        <w:spacing w:before="100" w:after="200" w:line="360" w:lineRule="auto"/>
        <w:ind w:right="590"/>
        <w:jc w:val="both"/>
        <w:rPr>
          <w:rFonts w:ascii="AcadNusx" w:eastAsia="Times New Roman" w:hAnsi="AcadNusx" w:cs="Times New Roman"/>
          <w:lang w:val="ka-GE"/>
        </w:rPr>
      </w:pPr>
      <w:r w:rsidRPr="00F2236F">
        <w:rPr>
          <w:rFonts w:ascii="Sylfaen" w:eastAsia="Times New Roman" w:hAnsi="Sylfaen" w:cs="Sylfaen"/>
          <w:lang w:val="ka-GE"/>
        </w:rPr>
        <w:t xml:space="preserve">იმერეთის მხარეში </w:t>
      </w:r>
      <w:r w:rsidR="00CD0072" w:rsidRPr="00F2236F">
        <w:rPr>
          <w:rFonts w:ascii="Sylfaen" w:eastAsia="Times New Roman" w:hAnsi="Sylfaen" w:cs="Sylfaen"/>
          <w:lang w:val="ka-GE"/>
        </w:rPr>
        <w:t xml:space="preserve"> არასამთავრო</w:t>
      </w:r>
      <w:r w:rsidR="00F659AF" w:rsidRPr="00F2236F">
        <w:rPr>
          <w:rFonts w:ascii="Sylfaen" w:eastAsia="Times New Roman" w:hAnsi="Sylfaen" w:cs="Sylfaen"/>
          <w:lang w:val="ka-GE"/>
        </w:rPr>
        <w:t>ბო</w:t>
      </w:r>
      <w:r w:rsidR="00CD0072" w:rsidRPr="00F2236F">
        <w:rPr>
          <w:rFonts w:ascii="Sylfaen" w:eastAsia="Times New Roman" w:hAnsi="Sylfaen" w:cs="Sylfaen"/>
          <w:lang w:val="ka-GE"/>
        </w:rPr>
        <w:t xml:space="preserve"> ორგანიზაციებში, ადგილობრივი მმართველობის ორგანოებში, საჯარო სამსახურში, ბიზნესსა და სხვა არასაბიუჯეტო სფეროში დასაქმებულთა, მოსწავლე ახალგაზრდობის, ზოგადად მოსახლეობის  </w:t>
      </w:r>
      <w:r w:rsidRPr="00F2236F">
        <w:rPr>
          <w:rFonts w:ascii="Sylfaen" w:eastAsia="Times New Roman" w:hAnsi="Sylfaen" w:cs="Sylfaen"/>
          <w:lang w:val="ka-GE"/>
        </w:rPr>
        <w:t xml:space="preserve"> ევროპული ი</w:t>
      </w:r>
      <w:r w:rsidR="00CD0072" w:rsidRPr="00F2236F">
        <w:rPr>
          <w:rFonts w:ascii="Sylfaen" w:eastAsia="Times New Roman" w:hAnsi="Sylfaen" w:cs="Sylfaen"/>
          <w:lang w:val="ka-GE"/>
        </w:rPr>
        <w:t>ნ</w:t>
      </w:r>
      <w:r w:rsidRPr="00F2236F">
        <w:rPr>
          <w:rFonts w:ascii="Sylfaen" w:eastAsia="Times New Roman" w:hAnsi="Sylfaen" w:cs="Sylfaen"/>
          <w:lang w:val="ka-GE"/>
        </w:rPr>
        <w:t>ტეგრაციის პრ</w:t>
      </w:r>
      <w:r w:rsidR="00CD0072" w:rsidRPr="00F2236F">
        <w:rPr>
          <w:rFonts w:ascii="Sylfaen" w:eastAsia="Times New Roman" w:hAnsi="Sylfaen" w:cs="Sylfaen"/>
          <w:lang w:val="ka-GE"/>
        </w:rPr>
        <w:t>ო</w:t>
      </w:r>
      <w:r w:rsidRPr="00F2236F">
        <w:rPr>
          <w:rFonts w:ascii="Sylfaen" w:eastAsia="Times New Roman" w:hAnsi="Sylfaen" w:cs="Sylfaen"/>
          <w:lang w:val="ka-GE"/>
        </w:rPr>
        <w:t>ცესის</w:t>
      </w:r>
      <w:r w:rsidR="00CD0072" w:rsidRPr="00F2236F">
        <w:rPr>
          <w:rFonts w:ascii="Sylfaen" w:eastAsia="Times New Roman" w:hAnsi="Sylfaen" w:cs="Sylfaen"/>
          <w:lang w:val="ka-GE"/>
        </w:rPr>
        <w:t xml:space="preserve">, ასოცირების შეთანხმებით ქვეყნის მიერ აღებული ვალდებულებების, მათგან და ქვეყნის ევროპული გზის განვითარების მიზნებიდან გამომდინარე ამოცანების შესახებ საზოგადოებრივი ცნობიერების ამაღლებას. </w:t>
      </w:r>
    </w:p>
    <w:p w:rsidR="007A4AE9" w:rsidRPr="00F2236F" w:rsidRDefault="00497306" w:rsidP="006E2584">
      <w:pPr>
        <w:pStyle w:val="ListParagraph"/>
        <w:numPr>
          <w:ilvl w:val="0"/>
          <w:numId w:val="8"/>
        </w:numPr>
        <w:shd w:val="clear" w:color="auto" w:fill="FFFFFF" w:themeFill="background1"/>
        <w:spacing w:before="100" w:after="200" w:line="360" w:lineRule="auto"/>
        <w:ind w:right="590"/>
        <w:jc w:val="both"/>
        <w:rPr>
          <w:rFonts w:ascii="AcadNusx" w:eastAsia="Times New Roman" w:hAnsi="AcadNusx" w:cs="Times New Roman"/>
          <w:lang w:val="ka-GE"/>
        </w:rPr>
      </w:pPr>
      <w:r w:rsidRPr="00F2236F">
        <w:rPr>
          <w:rFonts w:ascii="Sylfaen" w:eastAsia="Times New Roman" w:hAnsi="Sylfaen" w:cs="Sylfaen"/>
          <w:lang w:val="ka-GE"/>
        </w:rPr>
        <w:t>სამოქალ</w:t>
      </w:r>
      <w:r w:rsidR="0075574D" w:rsidRPr="00F2236F">
        <w:rPr>
          <w:rFonts w:ascii="Sylfaen" w:eastAsia="Times New Roman" w:hAnsi="Sylfaen" w:cs="Sylfaen"/>
          <w:lang w:val="ka-GE"/>
        </w:rPr>
        <w:t>ა</w:t>
      </w:r>
      <w:r w:rsidRPr="00F2236F">
        <w:rPr>
          <w:rFonts w:ascii="Sylfaen" w:eastAsia="Times New Roman" w:hAnsi="Sylfaen" w:cs="Sylfaen"/>
          <w:lang w:val="ka-GE"/>
        </w:rPr>
        <w:t>ქო საზოგადოების</w:t>
      </w:r>
      <w:r w:rsidR="00887593" w:rsidRPr="00F2236F">
        <w:rPr>
          <w:rFonts w:ascii="Sylfaen" w:eastAsia="Times New Roman" w:hAnsi="Sylfaen" w:cs="Sylfaen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 xml:space="preserve">ჩართულობის </w:t>
      </w:r>
      <w:r w:rsidR="003869AA" w:rsidRPr="00F2236F">
        <w:rPr>
          <w:rFonts w:ascii="Sylfaen" w:eastAsia="Times New Roman" w:hAnsi="Sylfaen" w:cs="Sylfaen"/>
          <w:lang w:val="ka-GE"/>
        </w:rPr>
        <w:t>ხელშეწყობა</w:t>
      </w:r>
      <w:r w:rsidR="004056A6" w:rsidRPr="00F2236F">
        <w:rPr>
          <w:rFonts w:ascii="Sylfaen" w:eastAsia="Times New Roman" w:hAnsi="Sylfaen" w:cs="Sylfaen"/>
          <w:lang w:val="ka-GE"/>
        </w:rPr>
        <w:t>ს</w:t>
      </w:r>
      <w:r w:rsidR="003869AA" w:rsidRPr="00F2236F">
        <w:rPr>
          <w:rFonts w:ascii="Sylfaen" w:eastAsia="Times New Roman" w:hAnsi="Sylfaen" w:cs="Sylfaen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იმერეთის რეგიონის</w:t>
      </w:r>
      <w:r w:rsidR="003869AA" w:rsidRPr="00F2236F">
        <w:rPr>
          <w:rFonts w:ascii="Sylfaen" w:eastAsia="Times New Roman" w:hAnsi="Sylfaen" w:cs="Sylfaen"/>
          <w:lang w:val="ka-GE"/>
        </w:rPr>
        <w:t xml:space="preserve"> საჯარო და ადგილობრივი </w:t>
      </w:r>
      <w:r w:rsidR="00887593" w:rsidRPr="00F2236F">
        <w:rPr>
          <w:rFonts w:ascii="Sylfaen" w:eastAsia="Times New Roman" w:hAnsi="Sylfaen" w:cs="Sylfaen"/>
          <w:lang w:val="ka-GE"/>
        </w:rPr>
        <w:t xml:space="preserve">მმართველობის </w:t>
      </w:r>
      <w:r w:rsidR="003869AA" w:rsidRPr="00F2236F">
        <w:rPr>
          <w:rFonts w:ascii="Sylfaen" w:eastAsia="Times New Roman" w:hAnsi="Sylfaen" w:cs="Sylfaen"/>
          <w:lang w:val="ka-GE"/>
        </w:rPr>
        <w:t>სტრუქტურების მიერ ისეთი გადაწყვეტილებების მომზადებისა და განხორციელების პროცესში, რომლებიც კავშირშია ასოცირების შეთანხმებით ქვეყნის მიერ აღებულ ვალდებულებ</w:t>
      </w:r>
      <w:r w:rsidR="007A4AE9" w:rsidRPr="00F2236F">
        <w:rPr>
          <w:rFonts w:ascii="Sylfaen" w:eastAsia="Times New Roman" w:hAnsi="Sylfaen" w:cs="Sylfaen"/>
          <w:lang w:val="ka-GE"/>
        </w:rPr>
        <w:t xml:space="preserve">ებთან და მათგან გამომდინარე ამოცანებთან. </w:t>
      </w:r>
    </w:p>
    <w:p w:rsidR="00FC0A81" w:rsidRPr="00F2236F" w:rsidRDefault="007A4AE9" w:rsidP="00FC0A81">
      <w:pPr>
        <w:pStyle w:val="ListParagraph"/>
        <w:numPr>
          <w:ilvl w:val="0"/>
          <w:numId w:val="8"/>
        </w:numPr>
        <w:shd w:val="clear" w:color="auto" w:fill="FFFFFF" w:themeFill="background1"/>
        <w:spacing w:before="100" w:after="200" w:line="360" w:lineRule="auto"/>
        <w:ind w:right="590"/>
        <w:jc w:val="both"/>
        <w:rPr>
          <w:rFonts w:ascii="AcadNusx" w:eastAsia="Times New Roman" w:hAnsi="AcadNusx" w:cs="Times New Roman"/>
          <w:lang w:val="ka-GE"/>
        </w:rPr>
      </w:pPr>
      <w:r w:rsidRPr="00F2236F">
        <w:rPr>
          <w:rFonts w:ascii="Sylfaen" w:eastAsia="Times New Roman" w:hAnsi="Sylfaen" w:cs="Sylfaen"/>
          <w:lang w:val="ka-GE"/>
        </w:rPr>
        <w:t>ასოცირების შეთანხმების დებულებების განხორციელების სამოქალაქო საზოგადოების მიერ აქტიური მონიტორინგის ხელშეწყობა</w:t>
      </w:r>
      <w:r w:rsidR="00C2479D" w:rsidRPr="00F2236F">
        <w:rPr>
          <w:rFonts w:ascii="Sylfaen" w:eastAsia="Times New Roman" w:hAnsi="Sylfaen" w:cs="Sylfaen"/>
          <w:lang w:val="ka-GE"/>
        </w:rPr>
        <w:t>ს</w:t>
      </w:r>
      <w:r w:rsidR="00D87554" w:rsidRPr="00F2236F">
        <w:rPr>
          <w:rFonts w:ascii="Sylfaen" w:eastAsia="Times New Roman" w:hAnsi="Sylfaen" w:cs="Sylfaen"/>
        </w:rPr>
        <w:t>,</w:t>
      </w:r>
      <w:r w:rsidRPr="00F2236F">
        <w:rPr>
          <w:rFonts w:ascii="Sylfaen" w:eastAsia="Times New Roman" w:hAnsi="Sylfaen" w:cs="Sylfaen"/>
          <w:lang w:val="ka-GE"/>
        </w:rPr>
        <w:t xml:space="preserve"> კერძოდ</w:t>
      </w:r>
      <w:r w:rsidR="00D87554" w:rsidRPr="00F2236F">
        <w:rPr>
          <w:rFonts w:ascii="Sylfaen" w:eastAsia="Times New Roman" w:hAnsi="Sylfaen" w:cs="Sylfaen"/>
        </w:rPr>
        <w:t>,</w:t>
      </w:r>
      <w:r w:rsidRPr="00F2236F">
        <w:rPr>
          <w:rFonts w:ascii="Sylfaen" w:eastAsia="Times New Roman" w:hAnsi="Sylfaen" w:cs="Sylfaen"/>
          <w:lang w:val="ka-GE"/>
        </w:rPr>
        <w:t xml:space="preserve"> შესაბამისი ინფორმაციის დროულად მიწოდების, </w:t>
      </w:r>
      <w:r w:rsidR="00F659AF" w:rsidRPr="00F2236F">
        <w:rPr>
          <w:rFonts w:ascii="Sylfaen" w:eastAsia="Times New Roman" w:hAnsi="Sylfaen" w:cs="Sylfaen"/>
          <w:lang w:val="ka-GE"/>
        </w:rPr>
        <w:t>სამთავრობო და ადგილობრივი მმართ</w:t>
      </w:r>
      <w:r w:rsidRPr="00F2236F">
        <w:rPr>
          <w:rFonts w:ascii="Sylfaen" w:eastAsia="Times New Roman" w:hAnsi="Sylfaen" w:cs="Sylfaen"/>
          <w:lang w:val="ka-GE"/>
        </w:rPr>
        <w:t>ველობის სტრუქტურებთან ღია და გამჭვირვალე დიალოგის წარმოების, სხვა შესაბამისი ღონისძიებების</w:t>
      </w:r>
      <w:r w:rsidR="00F659AF" w:rsidRPr="00F2236F">
        <w:rPr>
          <w:rFonts w:ascii="Sylfaen" w:eastAsia="Times New Roman" w:hAnsi="Sylfaen" w:cs="Sylfaen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გატარების გზით.</w:t>
      </w:r>
    </w:p>
    <w:p w:rsidR="0073595A" w:rsidRPr="00F2236F" w:rsidRDefault="00A90038" w:rsidP="00FC0A81">
      <w:pPr>
        <w:pStyle w:val="ListParagraph"/>
        <w:numPr>
          <w:ilvl w:val="0"/>
          <w:numId w:val="8"/>
        </w:numPr>
        <w:shd w:val="clear" w:color="auto" w:fill="FFFFFF" w:themeFill="background1"/>
        <w:spacing w:before="100" w:after="200" w:line="360" w:lineRule="auto"/>
        <w:ind w:right="590"/>
        <w:jc w:val="both"/>
        <w:rPr>
          <w:rFonts w:ascii="AcadNusx" w:eastAsia="Times New Roman" w:hAnsi="AcadNusx" w:cs="Times New Roman"/>
          <w:lang w:val="ka-GE"/>
        </w:rPr>
      </w:pPr>
      <w:r w:rsidRPr="00F2236F">
        <w:rPr>
          <w:rFonts w:ascii="Sylfaen" w:eastAsia="Times New Roman" w:hAnsi="Sylfaen" w:cs="Sylfaen"/>
          <w:lang w:val="ka-GE"/>
        </w:rPr>
        <w:t>ცენტრალურ</w:t>
      </w:r>
      <w:r w:rsidR="00887593" w:rsidRPr="00F2236F">
        <w:rPr>
          <w:rFonts w:ascii="Sylfaen" w:eastAsia="Times New Roman" w:hAnsi="Sylfaen" w:cs="Sylfaen"/>
          <w:lang w:val="ka-GE"/>
        </w:rPr>
        <w:t>ი</w:t>
      </w:r>
      <w:r w:rsidRPr="00F2236F">
        <w:rPr>
          <w:rFonts w:ascii="Sylfaen" w:eastAsia="Times New Roman" w:hAnsi="Sylfaen" w:cs="Sylfaen"/>
          <w:lang w:val="ka-GE"/>
        </w:rPr>
        <w:t xml:space="preserve"> და ადგილობრივი მმართველობის ორგანოებსა და სამოქალაქო საზოგადოებას შორის </w:t>
      </w:r>
      <w:r w:rsidR="00FC0A81" w:rsidRPr="00F2236F">
        <w:rPr>
          <w:rFonts w:ascii="Sylfaen" w:eastAsia="Times New Roman" w:hAnsi="Sylfaen" w:cs="Sylfaen"/>
          <w:lang w:val="ka-GE"/>
        </w:rPr>
        <w:t xml:space="preserve">„კომუნიკაციის  არხების  ჩამოყალიბებასა და ინფორმაციისა და  გამოცდილების გაცვლის სისტემის განმტკიცებას ცენტრალურ და ადგილობრივ ხელისუფლებას, სოციალურ და ეკონომიკურ აქტორებსა და სამოქალაქო საზოგადოებას შორის“ </w:t>
      </w:r>
      <w:r w:rsidR="00970CCC" w:rsidRPr="00F2236F">
        <w:rPr>
          <w:rFonts w:ascii="Sylfaen" w:eastAsia="Times New Roman" w:hAnsi="Sylfaen" w:cs="Sylfaen"/>
          <w:lang w:val="ka-GE"/>
        </w:rPr>
        <w:t>როგორც ამას მოითხოვს საქ</w:t>
      </w:r>
      <w:r w:rsidR="00887593" w:rsidRPr="00F2236F">
        <w:rPr>
          <w:rFonts w:ascii="Sylfaen" w:eastAsia="Times New Roman" w:hAnsi="Sylfaen" w:cs="Sylfaen"/>
          <w:lang w:val="ka-GE"/>
        </w:rPr>
        <w:t>ართ</w:t>
      </w:r>
      <w:r w:rsidR="00970CCC" w:rsidRPr="00F2236F">
        <w:rPr>
          <w:rFonts w:ascii="Sylfaen" w:eastAsia="Times New Roman" w:hAnsi="Sylfaen" w:cs="Sylfaen"/>
          <w:lang w:val="ka-GE"/>
        </w:rPr>
        <w:t>ველო</w:t>
      </w:r>
      <w:r w:rsidR="00887593" w:rsidRPr="00F2236F">
        <w:rPr>
          <w:rFonts w:ascii="Sylfaen" w:eastAsia="Times New Roman" w:hAnsi="Sylfaen" w:cs="Sylfaen"/>
          <w:lang w:val="ka-GE"/>
        </w:rPr>
        <w:t>-</w:t>
      </w:r>
      <w:r w:rsidR="00970CCC" w:rsidRPr="00F2236F">
        <w:rPr>
          <w:rFonts w:ascii="Sylfaen" w:eastAsia="Times New Roman" w:hAnsi="Sylfaen" w:cs="Sylfaen"/>
          <w:lang w:val="ka-GE"/>
        </w:rPr>
        <w:t xml:space="preserve">ევროკავშირის ასოცირების შესახებ შეთანხმების 372-ე მუხლი. </w:t>
      </w:r>
    </w:p>
    <w:p w:rsidR="00887593" w:rsidRPr="00F2236F" w:rsidRDefault="00887593" w:rsidP="006E2584">
      <w:pPr>
        <w:pStyle w:val="ListParagraph"/>
        <w:numPr>
          <w:ilvl w:val="0"/>
          <w:numId w:val="8"/>
        </w:numPr>
        <w:shd w:val="clear" w:color="auto" w:fill="FFFFFF" w:themeFill="background1"/>
        <w:spacing w:before="100" w:after="200" w:line="360" w:lineRule="auto"/>
        <w:ind w:right="590"/>
        <w:jc w:val="both"/>
        <w:rPr>
          <w:rFonts w:ascii="AcadNusx" w:eastAsia="Times New Roman" w:hAnsi="AcadNusx" w:cs="Times New Roman"/>
          <w:lang w:val="ka-GE"/>
        </w:rPr>
      </w:pPr>
      <w:r w:rsidRPr="00F2236F">
        <w:rPr>
          <w:rFonts w:ascii="Sylfaen" w:eastAsia="Times New Roman" w:hAnsi="Sylfaen" w:cs="Sylfaen"/>
          <w:lang w:val="ka-GE"/>
        </w:rPr>
        <w:t>ერთობლივი თანამშრომლობის გაშლა</w:t>
      </w:r>
      <w:r w:rsidR="00C2479D" w:rsidRPr="00F2236F">
        <w:rPr>
          <w:rFonts w:ascii="Sylfaen" w:eastAsia="Times New Roman" w:hAnsi="Sylfaen" w:cs="Sylfaen"/>
          <w:lang w:val="ka-GE"/>
        </w:rPr>
        <w:t>ს</w:t>
      </w:r>
      <w:r w:rsidRPr="00F2236F">
        <w:rPr>
          <w:rFonts w:ascii="Sylfaen" w:eastAsia="Times New Roman" w:hAnsi="Sylfaen" w:cs="Sylfaen"/>
          <w:lang w:val="ka-GE"/>
        </w:rPr>
        <w:t xml:space="preserve"> რეგიონული განვითარების, მათ შორის ტურიზმის, განათლების, კულტურული მემკვიდრეობის დაცვის, რეგიონის საერთაშორისო ორგანიზაციებთან, მათ შორის, ევროპის ეკონომიკურ და სოციალურ კომიტეტთან, ევროპის რეგიონთა კომიტეტთან</w:t>
      </w:r>
      <w:r w:rsidR="00C2479D" w:rsidRPr="00F2236F">
        <w:rPr>
          <w:rFonts w:ascii="Sylfaen" w:eastAsia="Times New Roman" w:hAnsi="Sylfaen" w:cs="Sylfaen"/>
          <w:lang w:val="ka-GE"/>
        </w:rPr>
        <w:t xml:space="preserve"> კავშირების გაღრმა</w:t>
      </w:r>
      <w:r w:rsidRPr="00F2236F">
        <w:rPr>
          <w:rFonts w:ascii="Sylfaen" w:eastAsia="Times New Roman" w:hAnsi="Sylfaen" w:cs="Sylfaen"/>
          <w:lang w:val="ka-GE"/>
        </w:rPr>
        <w:t xml:space="preserve">ვების მიზნით, დემოკრატიისა და დეცენტრალიზაციის განვითარების მიზნით.  </w:t>
      </w:r>
    </w:p>
    <w:p w:rsidR="00586B69" w:rsidRPr="00F2236F" w:rsidRDefault="00887593" w:rsidP="006E2584">
      <w:pPr>
        <w:shd w:val="clear" w:color="auto" w:fill="FFFFFF" w:themeFill="background1"/>
        <w:spacing w:before="100" w:after="200" w:line="360" w:lineRule="auto"/>
        <w:ind w:left="720" w:right="590"/>
        <w:jc w:val="both"/>
        <w:rPr>
          <w:rFonts w:ascii="Sylfaen" w:eastAsia="Times New Roman" w:hAnsi="Sylfaen" w:cs="Times New Roman"/>
          <w:lang w:val="ka-GE"/>
        </w:rPr>
      </w:pPr>
      <w:r w:rsidRPr="00F2236F">
        <w:rPr>
          <w:rFonts w:ascii="Sylfaen" w:eastAsia="Times New Roman" w:hAnsi="Sylfaen" w:cs="Sylfaen"/>
          <w:lang w:val="ka-GE"/>
        </w:rPr>
        <w:t xml:space="preserve"> </w:t>
      </w:r>
      <w:r w:rsidR="00A90038" w:rsidRPr="00F2236F">
        <w:rPr>
          <w:rFonts w:ascii="Sylfaen" w:eastAsia="Times New Roman" w:hAnsi="Sylfaen" w:cs="Sylfaen"/>
          <w:lang w:val="ka-GE"/>
        </w:rPr>
        <w:t xml:space="preserve"> </w:t>
      </w:r>
      <w:r w:rsidR="00A90038" w:rsidRPr="00F2236F">
        <w:rPr>
          <w:rFonts w:ascii="AcadNusx" w:eastAsia="Times New Roman" w:hAnsi="AcadNusx" w:cs="Times New Roman"/>
          <w:lang w:val="ka-GE"/>
        </w:rPr>
        <w:t xml:space="preserve"> </w:t>
      </w:r>
      <w:r w:rsidR="0073595A" w:rsidRPr="00F2236F">
        <w:rPr>
          <w:rFonts w:ascii="AcadNusx" w:eastAsia="Times New Roman" w:hAnsi="AcadNusx" w:cs="Times New Roman"/>
          <w:b/>
        </w:rPr>
        <w:t xml:space="preserve">IV </w:t>
      </w:r>
      <w:r w:rsidRPr="00F2236F">
        <w:rPr>
          <w:rFonts w:ascii="Sylfaen" w:eastAsia="Times New Roman" w:hAnsi="Sylfaen" w:cs="Times New Roman"/>
          <w:b/>
          <w:lang w:val="ka-GE"/>
        </w:rPr>
        <w:t xml:space="preserve">თანამშრომლობის </w:t>
      </w:r>
      <w:r w:rsidR="0073595A" w:rsidRPr="00F2236F">
        <w:rPr>
          <w:rFonts w:ascii="Sylfaen" w:eastAsia="Times New Roman" w:hAnsi="Sylfaen" w:cs="Times New Roman"/>
          <w:b/>
          <w:lang w:val="ka-GE"/>
        </w:rPr>
        <w:t>მექანიზმები</w:t>
      </w:r>
    </w:p>
    <w:p w:rsidR="0073595A" w:rsidRPr="00F2236F" w:rsidRDefault="00586B69" w:rsidP="006E2584">
      <w:pPr>
        <w:pStyle w:val="ListParagraph"/>
        <w:numPr>
          <w:ilvl w:val="0"/>
          <w:numId w:val="9"/>
        </w:numPr>
        <w:shd w:val="clear" w:color="auto" w:fill="FFFFFF" w:themeFill="background1"/>
        <w:spacing w:before="100" w:after="200" w:line="360" w:lineRule="auto"/>
        <w:ind w:right="590"/>
        <w:jc w:val="both"/>
        <w:rPr>
          <w:rFonts w:ascii="AcadNusx" w:eastAsia="Times New Roman" w:hAnsi="AcadNusx" w:cs="Times New Roman"/>
          <w:lang w:val="ka-GE"/>
        </w:rPr>
      </w:pPr>
      <w:r w:rsidRPr="00F2236F">
        <w:rPr>
          <w:rFonts w:ascii="Sylfaen" w:eastAsia="Times New Roman" w:hAnsi="Sylfaen" w:cs="Sylfaen"/>
          <w:lang w:val="ka-GE"/>
        </w:rPr>
        <w:lastRenderedPageBreak/>
        <w:t>მემორანდუმის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მონაწილე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მხარეები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ითანამშრომ</w:t>
      </w:r>
      <w:r w:rsidR="0073595A" w:rsidRPr="00F2236F">
        <w:rPr>
          <w:rFonts w:ascii="Sylfaen" w:eastAsia="Times New Roman" w:hAnsi="Sylfaen" w:cs="Sylfaen"/>
          <w:lang w:val="ka-GE"/>
        </w:rPr>
        <w:t xml:space="preserve">ლებენ </w:t>
      </w:r>
      <w:r w:rsidRPr="00F2236F">
        <w:rPr>
          <w:rFonts w:ascii="Sylfaen" w:eastAsia="Times New Roman" w:hAnsi="Sylfaen" w:cs="Sylfaen"/>
          <w:lang w:val="ka-GE"/>
        </w:rPr>
        <w:t>როგორც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დაგეგმილ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ასევე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სამომავლო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პროექტების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ფარგლებში</w:t>
      </w:r>
      <w:r w:rsidR="0073595A" w:rsidRPr="00F2236F">
        <w:rPr>
          <w:rFonts w:ascii="Sylfaen" w:eastAsia="Times New Roman" w:hAnsi="Sylfaen" w:cs="Sylfaen"/>
          <w:lang w:val="ka-GE"/>
        </w:rPr>
        <w:t xml:space="preserve">; </w:t>
      </w:r>
    </w:p>
    <w:p w:rsidR="00586B69" w:rsidRPr="00F2236F" w:rsidRDefault="0073595A" w:rsidP="006E2584">
      <w:pPr>
        <w:pStyle w:val="ListParagraph"/>
        <w:numPr>
          <w:ilvl w:val="0"/>
          <w:numId w:val="9"/>
        </w:numPr>
        <w:shd w:val="clear" w:color="auto" w:fill="FFFFFF" w:themeFill="background1"/>
        <w:spacing w:before="100" w:after="200" w:line="360" w:lineRule="auto"/>
        <w:ind w:right="590"/>
        <w:jc w:val="both"/>
        <w:rPr>
          <w:rFonts w:ascii="AcadNusx" w:eastAsia="Times New Roman" w:hAnsi="AcadNusx" w:cs="Times New Roman"/>
          <w:lang w:val="ka-GE"/>
        </w:rPr>
      </w:pPr>
      <w:r w:rsidRPr="00F2236F">
        <w:rPr>
          <w:rFonts w:ascii="Sylfaen" w:eastAsia="Times New Roman" w:hAnsi="Sylfaen" w:cs="AcadNusx"/>
          <w:lang w:val="ka-GE"/>
        </w:rPr>
        <w:t xml:space="preserve">ზემოთქმული მიზნების მისაღწევად შეეცდებიან </w:t>
      </w:r>
      <w:r w:rsidR="00D87554" w:rsidRPr="00F2236F">
        <w:rPr>
          <w:rFonts w:ascii="Sylfaen" w:eastAsia="Times New Roman" w:hAnsi="Sylfaen" w:cs="AcadNusx"/>
          <w:color w:val="0D0D0D" w:themeColor="text1" w:themeTint="F2"/>
          <w:lang w:val="ka-GE"/>
        </w:rPr>
        <w:t xml:space="preserve">საქართველოს ეროვნული პლატფორმა, ააიპ „ადგილობრივი დემოკრატიის სააგენტო საქართველო“ </w:t>
      </w:r>
      <w:r w:rsidR="00376A3B" w:rsidRPr="00F2236F">
        <w:rPr>
          <w:rFonts w:ascii="Sylfaen" w:eastAsia="Times New Roman" w:hAnsi="Sylfaen" w:cs="AcadNusx"/>
          <w:color w:val="C00000"/>
          <w:lang w:val="ka-GE"/>
        </w:rPr>
        <w:t xml:space="preserve"> </w:t>
      </w:r>
      <w:r w:rsidRPr="00F2236F">
        <w:rPr>
          <w:rFonts w:ascii="Sylfaen" w:eastAsia="Times New Roman" w:hAnsi="Sylfaen" w:cs="AcadNusx"/>
          <w:lang w:val="ka-GE"/>
        </w:rPr>
        <w:t xml:space="preserve">მოიპოვონ დაფინანსება </w:t>
      </w:r>
      <w:r w:rsidR="00F659AF" w:rsidRPr="00F2236F">
        <w:rPr>
          <w:rFonts w:ascii="Sylfaen" w:eastAsia="Times New Roman" w:hAnsi="Sylfaen" w:cs="AcadNusx"/>
          <w:lang w:val="ka-GE"/>
        </w:rPr>
        <w:t>სამამ</w:t>
      </w:r>
      <w:r w:rsidRPr="00F2236F">
        <w:rPr>
          <w:rFonts w:ascii="Sylfaen" w:eastAsia="Times New Roman" w:hAnsi="Sylfaen" w:cs="AcadNusx"/>
          <w:lang w:val="ka-GE"/>
        </w:rPr>
        <w:t>ულო და საერთაშორისო საგრანტო წყაროებიდან, დააინტერ</w:t>
      </w:r>
      <w:r w:rsidR="000750B7" w:rsidRPr="00F2236F">
        <w:rPr>
          <w:rFonts w:ascii="Sylfaen" w:eastAsia="Times New Roman" w:hAnsi="Sylfaen" w:cs="AcadNusx"/>
          <w:lang w:val="ka-GE"/>
        </w:rPr>
        <w:t>ე</w:t>
      </w:r>
      <w:r w:rsidRPr="00F2236F">
        <w:rPr>
          <w:rFonts w:ascii="Sylfaen" w:eastAsia="Times New Roman" w:hAnsi="Sylfaen" w:cs="AcadNusx"/>
          <w:lang w:val="ka-GE"/>
        </w:rPr>
        <w:t xml:space="preserve">სონ ბიზნესი და სხვა აქტორები განვითარების პროექტების თანადაფინანსებითა და მათში თანამონაწილეობით; </w:t>
      </w:r>
    </w:p>
    <w:p w:rsidR="0073595A" w:rsidRPr="00F2236F" w:rsidRDefault="00D87554" w:rsidP="006E2584">
      <w:pPr>
        <w:pStyle w:val="ListParagraph"/>
        <w:numPr>
          <w:ilvl w:val="0"/>
          <w:numId w:val="9"/>
        </w:numPr>
        <w:shd w:val="clear" w:color="auto" w:fill="FFFFFF" w:themeFill="background1"/>
        <w:spacing w:before="100" w:after="200" w:line="360" w:lineRule="auto"/>
        <w:ind w:right="590"/>
        <w:jc w:val="both"/>
        <w:rPr>
          <w:rFonts w:ascii="AcadNusx" w:eastAsia="Times New Roman" w:hAnsi="AcadNusx" w:cs="Times New Roman"/>
          <w:lang w:val="ka-GE"/>
        </w:rPr>
      </w:pPr>
      <w:r w:rsidRPr="00F2236F">
        <w:rPr>
          <w:rFonts w:ascii="Sylfaen" w:eastAsia="Times New Roman" w:hAnsi="Sylfaen" w:cs="Times New Roman"/>
          <w:lang w:val="ka-GE"/>
        </w:rPr>
        <w:t>შექმნი</w:t>
      </w:r>
      <w:r w:rsidR="00FC25C6" w:rsidRPr="00F2236F">
        <w:rPr>
          <w:rFonts w:ascii="Sylfaen" w:eastAsia="Times New Roman" w:hAnsi="Sylfaen" w:cs="Times New Roman"/>
          <w:lang w:val="ka-GE"/>
        </w:rPr>
        <w:t xml:space="preserve">ან </w:t>
      </w:r>
      <w:r w:rsidR="0073595A" w:rsidRPr="00F2236F">
        <w:rPr>
          <w:rFonts w:ascii="Sylfaen" w:eastAsia="Times New Roman" w:hAnsi="Sylfaen" w:cs="Times New Roman"/>
          <w:lang w:val="ka-GE"/>
        </w:rPr>
        <w:t>თანმშრომლობის ფორმატებს, რომელთა ფარგლებშიც მხარეთა უფლებამოსილი წარმომადგ</w:t>
      </w:r>
      <w:r w:rsidR="000750B7" w:rsidRPr="00F2236F">
        <w:rPr>
          <w:rFonts w:ascii="Sylfaen" w:eastAsia="Times New Roman" w:hAnsi="Sylfaen" w:cs="Times New Roman"/>
          <w:lang w:val="ka-GE"/>
        </w:rPr>
        <w:t>ენ</w:t>
      </w:r>
      <w:r w:rsidR="0073595A" w:rsidRPr="00F2236F">
        <w:rPr>
          <w:rFonts w:ascii="Sylfaen" w:eastAsia="Times New Roman" w:hAnsi="Sylfaen" w:cs="Times New Roman"/>
          <w:lang w:val="ka-GE"/>
        </w:rPr>
        <w:t xml:space="preserve">ლები პერიოდულად შეხვდებიან და განიხილავენ მემორანდუმის მიზნებიდან გამომდინარე მათთვის საინტერესო საკითხებს, </w:t>
      </w:r>
      <w:r w:rsidR="004C3D91" w:rsidRPr="00F2236F">
        <w:rPr>
          <w:rFonts w:ascii="Sylfaen" w:eastAsia="Times New Roman" w:hAnsi="Sylfaen" w:cs="Times New Roman"/>
          <w:lang w:val="ka-GE"/>
        </w:rPr>
        <w:t>შ</w:t>
      </w:r>
      <w:r w:rsidR="00FC25C6" w:rsidRPr="00F2236F">
        <w:rPr>
          <w:rFonts w:ascii="Sylfaen" w:eastAsia="Times New Roman" w:hAnsi="Sylfaen" w:cs="Times New Roman"/>
          <w:lang w:val="ka-GE"/>
        </w:rPr>
        <w:t xml:space="preserve">ეიმუშავებენ </w:t>
      </w:r>
      <w:r w:rsidR="0073595A" w:rsidRPr="00F2236F">
        <w:rPr>
          <w:rFonts w:ascii="Sylfaen" w:eastAsia="Times New Roman" w:hAnsi="Sylfaen" w:cs="Times New Roman"/>
          <w:lang w:val="ka-GE"/>
        </w:rPr>
        <w:t xml:space="preserve">ერთობლივ დასკვნებს, რეკომენდაციებს, სამოქმედო გეგმებსა და </w:t>
      </w:r>
      <w:r w:rsidR="00FC25C6" w:rsidRPr="00F2236F">
        <w:rPr>
          <w:rFonts w:ascii="Sylfaen" w:eastAsia="Times New Roman" w:hAnsi="Sylfaen" w:cs="Times New Roman"/>
          <w:lang w:val="ka-GE"/>
        </w:rPr>
        <w:t>ა.შ.</w:t>
      </w:r>
      <w:r w:rsidR="0073595A" w:rsidRPr="00F2236F">
        <w:rPr>
          <w:rFonts w:ascii="Sylfaen" w:eastAsia="Times New Roman" w:hAnsi="Sylfaen" w:cs="Times New Roman"/>
          <w:lang w:val="ka-GE"/>
        </w:rPr>
        <w:t xml:space="preserve"> </w:t>
      </w:r>
    </w:p>
    <w:p w:rsidR="00AA5425" w:rsidRPr="00F2236F" w:rsidRDefault="00641AB2" w:rsidP="00974317">
      <w:pPr>
        <w:shd w:val="clear" w:color="auto" w:fill="FFFFFF" w:themeFill="background1"/>
        <w:spacing w:before="100" w:after="200" w:line="360" w:lineRule="auto"/>
        <w:ind w:left="720" w:right="590"/>
        <w:jc w:val="both"/>
        <w:rPr>
          <w:rFonts w:ascii="Sylfaen" w:eastAsia="Times New Roman" w:hAnsi="Sylfaen" w:cs="Times New Roman"/>
          <w:b/>
        </w:rPr>
      </w:pPr>
      <w:r w:rsidRPr="00F2236F">
        <w:rPr>
          <w:rFonts w:ascii="Sylfaen" w:eastAsia="Times New Roman" w:hAnsi="Sylfaen" w:cs="Times New Roman"/>
          <w:b/>
        </w:rPr>
        <w:t>IV</w:t>
      </w:r>
      <w:r w:rsidRPr="00F2236F">
        <w:rPr>
          <w:rFonts w:ascii="Sylfaen" w:eastAsia="Times New Roman" w:hAnsi="Sylfaen" w:cs="Times New Roman"/>
          <w:b/>
          <w:lang w:val="ka-GE"/>
        </w:rPr>
        <w:t xml:space="preserve"> </w:t>
      </w:r>
      <w:r w:rsidR="00AA5425" w:rsidRPr="00F2236F">
        <w:rPr>
          <w:rFonts w:ascii="Sylfaen" w:eastAsia="Times New Roman" w:hAnsi="Sylfaen" w:cs="Times New Roman"/>
          <w:b/>
          <w:lang w:val="ka-GE"/>
        </w:rPr>
        <w:t>დასკვნითი ნაწილი</w:t>
      </w:r>
      <w:r w:rsidRPr="00F2236F">
        <w:rPr>
          <w:rFonts w:ascii="Sylfaen" w:eastAsia="Times New Roman" w:hAnsi="Sylfaen" w:cs="Times New Roman"/>
          <w:b/>
        </w:rPr>
        <w:t xml:space="preserve"> </w:t>
      </w:r>
    </w:p>
    <w:p w:rsidR="00AA5425" w:rsidRPr="00F2236F" w:rsidRDefault="00AA5425" w:rsidP="006E2584">
      <w:pPr>
        <w:shd w:val="clear" w:color="auto" w:fill="FFFFFF" w:themeFill="background1"/>
        <w:spacing w:before="100" w:after="200" w:line="360" w:lineRule="auto"/>
        <w:ind w:left="720" w:right="590" w:firstLine="720"/>
        <w:jc w:val="both"/>
        <w:rPr>
          <w:rFonts w:ascii="Sylfaen" w:eastAsia="Times New Roman" w:hAnsi="Sylfaen" w:cs="Times New Roman"/>
          <w:color w:val="C00000"/>
          <w:lang w:val="ka-GE"/>
        </w:rPr>
      </w:pPr>
      <w:r w:rsidRPr="00F2236F">
        <w:rPr>
          <w:rFonts w:ascii="Sylfaen" w:eastAsia="Times New Roman" w:hAnsi="Sylfaen" w:cs="Times New Roman"/>
          <w:lang w:val="ka-GE"/>
        </w:rPr>
        <w:t>არსებული მემორანდუმი განიხილება, როგორც დეკლარაცია თანამშრო</w:t>
      </w:r>
      <w:r w:rsidR="00F659AF" w:rsidRPr="00F2236F">
        <w:rPr>
          <w:rFonts w:ascii="Sylfaen" w:eastAsia="Times New Roman" w:hAnsi="Sylfaen" w:cs="Times New Roman"/>
          <w:lang w:val="ka-GE"/>
        </w:rPr>
        <w:t>მ</w:t>
      </w:r>
      <w:r w:rsidRPr="00F2236F">
        <w:rPr>
          <w:rFonts w:ascii="Sylfaen" w:eastAsia="Times New Roman" w:hAnsi="Sylfaen" w:cs="Times New Roman"/>
          <w:lang w:val="ka-GE"/>
        </w:rPr>
        <w:t>ლობის შესახებ. დამატებები და ცვლილებები მემორანდუმში ფორმდება მხარეებს შორის შეთანხმე</w:t>
      </w:r>
      <w:r w:rsidR="00641AB2" w:rsidRPr="00F2236F">
        <w:rPr>
          <w:rFonts w:ascii="Sylfaen" w:eastAsia="Times New Roman" w:hAnsi="Sylfaen" w:cs="Times New Roman"/>
          <w:lang w:val="ka-GE"/>
        </w:rPr>
        <w:t>ბის საფუძველზე წერილობითი ფორმი</w:t>
      </w:r>
      <w:r w:rsidR="006021AF" w:rsidRPr="00F2236F">
        <w:rPr>
          <w:rFonts w:ascii="Sylfaen" w:eastAsia="Times New Roman" w:hAnsi="Sylfaen" w:cs="Times New Roman"/>
          <w:lang w:val="ka-GE"/>
        </w:rPr>
        <w:t>თ</w:t>
      </w:r>
      <w:r w:rsidRPr="00F2236F">
        <w:rPr>
          <w:rFonts w:ascii="Sylfaen" w:eastAsia="Times New Roman" w:hAnsi="Sylfaen" w:cs="Times New Roman"/>
          <w:lang w:val="ka-GE"/>
        </w:rPr>
        <w:t xml:space="preserve"> და ძალაშია ხელმოწერისთანავე</w:t>
      </w:r>
      <w:r w:rsidR="00D87554" w:rsidRPr="00F2236F">
        <w:rPr>
          <w:rFonts w:ascii="Sylfaen" w:eastAsia="Times New Roman" w:hAnsi="Sylfaen" w:cs="Times New Roman"/>
          <w:lang w:val="ka-GE"/>
        </w:rPr>
        <w:t>, რომლის სამოქმედო ვადად განისაზღვროს 1 (ერთი) წელი.</w:t>
      </w:r>
    </w:p>
    <w:p w:rsidR="00641AB2" w:rsidRPr="00F2236F" w:rsidRDefault="00586B69" w:rsidP="00974317">
      <w:pPr>
        <w:shd w:val="clear" w:color="auto" w:fill="FFFFFF" w:themeFill="background1"/>
        <w:spacing w:before="100" w:after="200" w:line="360" w:lineRule="auto"/>
        <w:ind w:left="720" w:right="590"/>
        <w:jc w:val="both"/>
        <w:rPr>
          <w:rFonts w:ascii="Sylfaen" w:eastAsia="Times New Roman" w:hAnsi="Sylfaen" w:cs="Times New Roman"/>
          <w:lang w:val="ka-GE"/>
        </w:rPr>
      </w:pPr>
      <w:r w:rsidRPr="00F2236F">
        <w:rPr>
          <w:rFonts w:ascii="Sylfaen" w:eastAsia="Times New Roman" w:hAnsi="Sylfaen" w:cs="Sylfaen"/>
          <w:lang w:val="ka-GE"/>
        </w:rPr>
        <w:t>მემორანდუმი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შედგენილია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სამ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ეგზემპლარად</w:t>
      </w:r>
      <w:r w:rsidRPr="00F2236F">
        <w:rPr>
          <w:rFonts w:ascii="AcadNusx" w:eastAsia="Times New Roman" w:hAnsi="AcadNusx" w:cs="AcadNusx"/>
          <w:lang w:val="ka-GE"/>
        </w:rPr>
        <w:t xml:space="preserve">, </w:t>
      </w:r>
      <w:r w:rsidRPr="00F2236F">
        <w:rPr>
          <w:rFonts w:ascii="Sylfaen" w:eastAsia="Times New Roman" w:hAnsi="Sylfaen" w:cs="Sylfaen"/>
          <w:lang w:val="ka-GE"/>
        </w:rPr>
        <w:t>გამოხატავს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მონაწილე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მხარეთა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ნებას</w:t>
      </w:r>
      <w:r w:rsidRPr="00F2236F">
        <w:rPr>
          <w:rFonts w:ascii="AcadNusx" w:eastAsia="Times New Roman" w:hAnsi="AcadNusx" w:cs="AcadNusx"/>
          <w:lang w:val="ka-GE"/>
        </w:rPr>
        <w:t xml:space="preserve">, </w:t>
      </w:r>
      <w:r w:rsidRPr="00F2236F">
        <w:rPr>
          <w:rFonts w:ascii="Sylfaen" w:eastAsia="Times New Roman" w:hAnsi="Sylfaen" w:cs="Sylfaen"/>
          <w:lang w:val="ka-GE"/>
        </w:rPr>
        <w:t>რასაც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ადასტურებენ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ხელმწორებითა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და</w:t>
      </w:r>
      <w:r w:rsidRPr="00F2236F">
        <w:rPr>
          <w:rFonts w:ascii="AcadNusx" w:eastAsia="Times New Roman" w:hAnsi="AcadNusx" w:cs="AcadNusx"/>
          <w:lang w:val="ka-GE"/>
        </w:rPr>
        <w:t xml:space="preserve"> </w:t>
      </w:r>
      <w:r w:rsidRPr="00F2236F">
        <w:rPr>
          <w:rFonts w:ascii="Sylfaen" w:eastAsia="Times New Roman" w:hAnsi="Sylfaen" w:cs="Sylfaen"/>
          <w:lang w:val="ka-GE"/>
        </w:rPr>
        <w:t>ბეჭდით</w:t>
      </w:r>
      <w:r w:rsidRPr="00F2236F">
        <w:rPr>
          <w:rFonts w:ascii="AcadNusx" w:eastAsia="Times New Roman" w:hAnsi="AcadNusx" w:cs="AcadNusx"/>
          <w:lang w:val="ka-GE"/>
        </w:rPr>
        <w:t>.</w:t>
      </w:r>
    </w:p>
    <w:p w:rsidR="006021AF" w:rsidRPr="00F2236F" w:rsidRDefault="006021AF" w:rsidP="00974317">
      <w:pPr>
        <w:shd w:val="clear" w:color="auto" w:fill="FFFFFF" w:themeFill="background1"/>
        <w:spacing w:before="100" w:after="200" w:line="360" w:lineRule="auto"/>
        <w:ind w:left="720" w:right="590"/>
        <w:jc w:val="both"/>
        <w:rPr>
          <w:rFonts w:ascii="Sylfaen" w:eastAsia="Times New Roman" w:hAnsi="Sylfaen" w:cs="Sylfaen"/>
          <w:lang w:val="ka-GE"/>
        </w:rPr>
      </w:pPr>
    </w:p>
    <w:p w:rsidR="006021AF" w:rsidRPr="00F2236F" w:rsidRDefault="006021AF" w:rsidP="00974317">
      <w:pPr>
        <w:shd w:val="clear" w:color="auto" w:fill="FFFFFF" w:themeFill="background1"/>
        <w:spacing w:before="100" w:after="200" w:line="360" w:lineRule="auto"/>
        <w:ind w:left="720" w:right="590"/>
        <w:jc w:val="both"/>
        <w:rPr>
          <w:rFonts w:ascii="Sylfaen" w:eastAsia="Times New Roman" w:hAnsi="Sylfaen" w:cs="Sylfaen"/>
          <w:lang w:val="ka-GE"/>
        </w:rPr>
      </w:pPr>
    </w:p>
    <w:p w:rsidR="00C73A9E" w:rsidRPr="00F2236F" w:rsidRDefault="004C3D91" w:rsidP="00F2236F">
      <w:pPr>
        <w:shd w:val="clear" w:color="auto" w:fill="FFFFFF" w:themeFill="background1"/>
        <w:spacing w:after="0" w:line="240" w:lineRule="auto"/>
        <w:ind w:left="630" w:right="590" w:firstLine="90"/>
        <w:jc w:val="both"/>
        <w:rPr>
          <w:rFonts w:ascii="AcadNusx" w:eastAsia="Times New Roman" w:hAnsi="AcadNusx" w:cs="Times New Roman"/>
          <w:lang w:val="ka-GE"/>
        </w:rPr>
      </w:pPr>
      <w:r w:rsidRPr="00F2236F">
        <w:rPr>
          <w:rFonts w:ascii="Sylfaen" w:eastAsia="Times New Roman" w:hAnsi="Sylfaen" w:cs="Sylfaen"/>
          <w:lang w:val="ka-GE"/>
        </w:rPr>
        <w:tab/>
      </w:r>
      <w:r w:rsidRPr="00F2236F">
        <w:rPr>
          <w:rFonts w:ascii="Sylfaen" w:eastAsia="Times New Roman" w:hAnsi="Sylfaen" w:cs="Sylfaen"/>
          <w:lang w:val="ka-GE"/>
        </w:rPr>
        <w:tab/>
      </w:r>
      <w:r w:rsidRPr="00F2236F">
        <w:rPr>
          <w:rFonts w:ascii="Sylfaen" w:eastAsia="Times New Roman" w:hAnsi="Sylfaen" w:cs="Sylfaen"/>
          <w:lang w:val="ka-GE"/>
        </w:rPr>
        <w:tab/>
      </w:r>
      <w:r w:rsidRPr="00F2236F">
        <w:rPr>
          <w:rFonts w:ascii="Sylfaen" w:eastAsia="Times New Roman" w:hAnsi="Sylfaen" w:cs="Sylfaen"/>
          <w:lang w:val="ka-GE"/>
        </w:rPr>
        <w:tab/>
      </w:r>
      <w:r w:rsidRPr="00F2236F">
        <w:rPr>
          <w:rFonts w:ascii="Sylfaen" w:eastAsia="Times New Roman" w:hAnsi="Sylfaen" w:cs="Sylfaen"/>
          <w:lang w:val="ka-GE"/>
        </w:rPr>
        <w:tab/>
      </w:r>
    </w:p>
    <w:p w:rsidR="00450377" w:rsidRPr="00F2236F" w:rsidRDefault="00450377" w:rsidP="006E2584">
      <w:pPr>
        <w:shd w:val="clear" w:color="auto" w:fill="FFFFFF" w:themeFill="background1"/>
        <w:spacing w:before="100" w:after="200" w:line="360" w:lineRule="auto"/>
        <w:ind w:right="590"/>
        <w:jc w:val="both"/>
        <w:rPr>
          <w:rFonts w:ascii="Sylfaen" w:eastAsia="Times New Roman" w:hAnsi="Sylfaen" w:cs="Times New Roman"/>
        </w:rPr>
      </w:pPr>
      <w:bookmarkStart w:id="0" w:name="_GoBack"/>
      <w:bookmarkEnd w:id="0"/>
    </w:p>
    <w:sectPr w:rsidR="00450377" w:rsidRPr="00F2236F" w:rsidSect="00325FF2">
      <w:footerReference w:type="default" r:id="rId11"/>
      <w:pgSz w:w="12240" w:h="15840"/>
      <w:pgMar w:top="1138" w:right="850" w:bottom="113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28" w:rsidRDefault="00230828" w:rsidP="00206DA1">
      <w:pPr>
        <w:spacing w:after="0" w:line="240" w:lineRule="auto"/>
      </w:pPr>
      <w:r>
        <w:separator/>
      </w:r>
    </w:p>
  </w:endnote>
  <w:endnote w:type="continuationSeparator" w:id="0">
    <w:p w:rsidR="00230828" w:rsidRDefault="00230828" w:rsidP="0020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238"/>
      <w:docPartObj>
        <w:docPartGallery w:val="Page Numbers (Bottom of Page)"/>
        <w:docPartUnique/>
      </w:docPartObj>
    </w:sdtPr>
    <w:sdtEndPr/>
    <w:sdtContent>
      <w:p w:rsidR="0073595A" w:rsidRDefault="00184EE5">
        <w:pPr>
          <w:pStyle w:val="Footer"/>
          <w:jc w:val="center"/>
        </w:pPr>
        <w:r>
          <w:fldChar w:fldCharType="begin"/>
        </w:r>
        <w:r w:rsidR="00CB5CCD">
          <w:instrText xml:space="preserve"> PAGE   \* MERGEFORMAT </w:instrText>
        </w:r>
        <w:r>
          <w:fldChar w:fldCharType="separate"/>
        </w:r>
        <w:r w:rsidR="00F223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595A" w:rsidRDefault="007359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28" w:rsidRDefault="00230828" w:rsidP="00206DA1">
      <w:pPr>
        <w:spacing w:after="0" w:line="240" w:lineRule="auto"/>
      </w:pPr>
      <w:r>
        <w:separator/>
      </w:r>
    </w:p>
  </w:footnote>
  <w:footnote w:type="continuationSeparator" w:id="0">
    <w:p w:rsidR="00230828" w:rsidRDefault="00230828" w:rsidP="0020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D0F"/>
      </v:shape>
    </w:pict>
  </w:numPicBullet>
  <w:abstractNum w:abstractNumId="0" w15:restartNumberingAfterBreak="0">
    <w:nsid w:val="01AC595C"/>
    <w:multiLevelType w:val="hybridMultilevel"/>
    <w:tmpl w:val="A036C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29A1"/>
    <w:multiLevelType w:val="hybridMultilevel"/>
    <w:tmpl w:val="859E9628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16D34FFF"/>
    <w:multiLevelType w:val="hybridMultilevel"/>
    <w:tmpl w:val="31060670"/>
    <w:lvl w:ilvl="0" w:tplc="325A0E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39C6"/>
    <w:multiLevelType w:val="hybridMultilevel"/>
    <w:tmpl w:val="698A42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07DF2"/>
    <w:multiLevelType w:val="hybridMultilevel"/>
    <w:tmpl w:val="E6865030"/>
    <w:lvl w:ilvl="0" w:tplc="5DB68C28">
      <w:start w:val="1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107A3"/>
    <w:multiLevelType w:val="hybridMultilevel"/>
    <w:tmpl w:val="5298F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93A61"/>
    <w:multiLevelType w:val="hybridMultilevel"/>
    <w:tmpl w:val="0A12A1B8"/>
    <w:lvl w:ilvl="0" w:tplc="8AEE74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204F5"/>
    <w:multiLevelType w:val="hybridMultilevel"/>
    <w:tmpl w:val="F5C8AA3C"/>
    <w:lvl w:ilvl="0" w:tplc="26CA5804">
      <w:start w:val="1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3B49AA"/>
    <w:multiLevelType w:val="hybridMultilevel"/>
    <w:tmpl w:val="8F821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AA"/>
    <w:rsid w:val="0002225F"/>
    <w:rsid w:val="000520DA"/>
    <w:rsid w:val="000750B7"/>
    <w:rsid w:val="00077AC1"/>
    <w:rsid w:val="000D57A3"/>
    <w:rsid w:val="001728A7"/>
    <w:rsid w:val="00184EE5"/>
    <w:rsid w:val="00206DA1"/>
    <w:rsid w:val="00230828"/>
    <w:rsid w:val="00233792"/>
    <w:rsid w:val="00272222"/>
    <w:rsid w:val="0028208F"/>
    <w:rsid w:val="00325FF2"/>
    <w:rsid w:val="00356619"/>
    <w:rsid w:val="00376A3B"/>
    <w:rsid w:val="003869AA"/>
    <w:rsid w:val="003A3F9B"/>
    <w:rsid w:val="004047BD"/>
    <w:rsid w:val="004056A6"/>
    <w:rsid w:val="00436E39"/>
    <w:rsid w:val="00446C75"/>
    <w:rsid w:val="00447883"/>
    <w:rsid w:val="00450377"/>
    <w:rsid w:val="00497306"/>
    <w:rsid w:val="004B2373"/>
    <w:rsid w:val="004C3D91"/>
    <w:rsid w:val="004E67B3"/>
    <w:rsid w:val="00533DA4"/>
    <w:rsid w:val="0054615E"/>
    <w:rsid w:val="005663A0"/>
    <w:rsid w:val="00586B69"/>
    <w:rsid w:val="005E7597"/>
    <w:rsid w:val="006021AF"/>
    <w:rsid w:val="00641AB2"/>
    <w:rsid w:val="006913E9"/>
    <w:rsid w:val="0069341F"/>
    <w:rsid w:val="006E2584"/>
    <w:rsid w:val="0073595A"/>
    <w:rsid w:val="0075574D"/>
    <w:rsid w:val="007834D1"/>
    <w:rsid w:val="007A079E"/>
    <w:rsid w:val="007A4AE9"/>
    <w:rsid w:val="007D5A57"/>
    <w:rsid w:val="007F0068"/>
    <w:rsid w:val="00873AAA"/>
    <w:rsid w:val="00887593"/>
    <w:rsid w:val="0096361F"/>
    <w:rsid w:val="00970CCC"/>
    <w:rsid w:val="00974317"/>
    <w:rsid w:val="009C2F96"/>
    <w:rsid w:val="009E7F43"/>
    <w:rsid w:val="00A33A0C"/>
    <w:rsid w:val="00A7255A"/>
    <w:rsid w:val="00A90038"/>
    <w:rsid w:val="00AA5425"/>
    <w:rsid w:val="00B072E1"/>
    <w:rsid w:val="00B900E2"/>
    <w:rsid w:val="00BA7C17"/>
    <w:rsid w:val="00C2479D"/>
    <w:rsid w:val="00C3440F"/>
    <w:rsid w:val="00C62410"/>
    <w:rsid w:val="00C73A9E"/>
    <w:rsid w:val="00CB5CCD"/>
    <w:rsid w:val="00CC41B5"/>
    <w:rsid w:val="00CC59D9"/>
    <w:rsid w:val="00CD0072"/>
    <w:rsid w:val="00CD28AC"/>
    <w:rsid w:val="00D31C42"/>
    <w:rsid w:val="00D57304"/>
    <w:rsid w:val="00D83EB5"/>
    <w:rsid w:val="00D87554"/>
    <w:rsid w:val="00DD3619"/>
    <w:rsid w:val="00DF2C36"/>
    <w:rsid w:val="00DF471B"/>
    <w:rsid w:val="00DF6B99"/>
    <w:rsid w:val="00E22865"/>
    <w:rsid w:val="00EB429C"/>
    <w:rsid w:val="00F02E9B"/>
    <w:rsid w:val="00F05103"/>
    <w:rsid w:val="00F21D2A"/>
    <w:rsid w:val="00F2236F"/>
    <w:rsid w:val="00F659AF"/>
    <w:rsid w:val="00F8654A"/>
    <w:rsid w:val="00FC0A81"/>
    <w:rsid w:val="00FC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FA396-8006-4B80-8271-A24F0361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2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7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D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DA1"/>
  </w:style>
  <w:style w:type="paragraph" w:styleId="Footer">
    <w:name w:val="footer"/>
    <w:basedOn w:val="Normal"/>
    <w:link w:val="FooterChar"/>
    <w:uiPriority w:val="99"/>
    <w:unhideWhenUsed/>
    <w:rsid w:val="00206D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DA1"/>
  </w:style>
  <w:style w:type="paragraph" w:customStyle="1" w:styleId="Default">
    <w:name w:val="Default"/>
    <w:rsid w:val="00586B69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02968-58B7-403E-91ED-FC83C7E3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2017-02-20T07:49:00Z</cp:lastPrinted>
  <dcterms:created xsi:type="dcterms:W3CDTF">2017-02-21T06:26:00Z</dcterms:created>
  <dcterms:modified xsi:type="dcterms:W3CDTF">2018-03-12T10:22:00Z</dcterms:modified>
</cp:coreProperties>
</file>